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1559"/>
        <w:gridCol w:w="1683"/>
      </w:tblGrid>
      <w:tr w:rsidR="009A6303" w14:paraId="347DCDEB" w14:textId="77777777" w:rsidTr="00F7015A">
        <w:trPr>
          <w:trHeight w:hRule="exact" w:val="94"/>
        </w:trPr>
        <w:tc>
          <w:tcPr>
            <w:tcW w:w="4678" w:type="dxa"/>
          </w:tcPr>
          <w:p w14:paraId="3E30E2C6" w14:textId="77777777" w:rsidR="008F48D5" w:rsidRPr="00423011" w:rsidRDefault="008F48D5" w:rsidP="00423011">
            <w:pPr>
              <w:rPr>
                <w:lang w:val="nb-NO"/>
              </w:rPr>
            </w:pPr>
          </w:p>
        </w:tc>
        <w:tc>
          <w:tcPr>
            <w:tcW w:w="1559" w:type="dxa"/>
            <w:tcBorders>
              <w:left w:val="nil"/>
            </w:tcBorders>
          </w:tcPr>
          <w:p w14:paraId="7478949A" w14:textId="77777777" w:rsidR="008F48D5" w:rsidRPr="00C10EF4" w:rsidRDefault="008F48D5" w:rsidP="00F53676">
            <w:pPr>
              <w:pStyle w:val="Topptekst"/>
            </w:pPr>
          </w:p>
        </w:tc>
        <w:tc>
          <w:tcPr>
            <w:tcW w:w="1683" w:type="dxa"/>
          </w:tcPr>
          <w:p w14:paraId="50E9CD82" w14:textId="77777777" w:rsidR="008F48D5" w:rsidRDefault="008F48D5" w:rsidP="00F53676">
            <w:pPr>
              <w:pStyle w:val="Topptekst"/>
            </w:pPr>
          </w:p>
        </w:tc>
      </w:tr>
      <w:tr w:rsidR="009A6303" w14:paraId="6E50B2D6" w14:textId="77777777" w:rsidTr="00F7015A">
        <w:trPr>
          <w:trHeight w:hRule="exact" w:val="266"/>
        </w:trPr>
        <w:tc>
          <w:tcPr>
            <w:tcW w:w="4678" w:type="dxa"/>
          </w:tcPr>
          <w:p w14:paraId="5951741B" w14:textId="77777777" w:rsidR="00C10EF4" w:rsidRDefault="00695075" w:rsidP="00C10EF4">
            <w:pPr>
              <w:pStyle w:val="Ingenmellomrom"/>
            </w:pPr>
            <w:r>
              <w:t>Helse Sør-Øst RHF</w:t>
            </w:r>
          </w:p>
        </w:tc>
        <w:tc>
          <w:tcPr>
            <w:tcW w:w="1559" w:type="dxa"/>
          </w:tcPr>
          <w:p w14:paraId="24E01171" w14:textId="77777777" w:rsidR="00C10EF4" w:rsidRPr="00AA1061" w:rsidRDefault="00C10EF4" w:rsidP="00F53676">
            <w:pPr>
              <w:pStyle w:val="Topptekst"/>
              <w:rPr>
                <w:rStyle w:val="uthevet"/>
              </w:rPr>
            </w:pPr>
            <w:proofErr w:type="spellStart"/>
            <w:r w:rsidRPr="00AA1061">
              <w:rPr>
                <w:rStyle w:val="uthevet"/>
              </w:rPr>
              <w:t>Deres</w:t>
            </w:r>
            <w:proofErr w:type="spellEnd"/>
            <w:r w:rsidRPr="00AA1061">
              <w:rPr>
                <w:rStyle w:val="uthevet"/>
              </w:rPr>
              <w:t xml:space="preserve"> </w:t>
            </w:r>
            <w:proofErr w:type="spellStart"/>
            <w:r w:rsidRPr="00AA1061">
              <w:rPr>
                <w:rStyle w:val="uthevet"/>
              </w:rPr>
              <w:t>referanse</w:t>
            </w:r>
            <w:proofErr w:type="spellEnd"/>
            <w:r w:rsidRPr="00AA1061">
              <w:rPr>
                <w:rStyle w:val="uthevet"/>
              </w:rPr>
              <w:t>:</w:t>
            </w:r>
          </w:p>
        </w:tc>
        <w:tc>
          <w:tcPr>
            <w:tcW w:w="1683" w:type="dxa"/>
          </w:tcPr>
          <w:p w14:paraId="4309E987" w14:textId="77777777" w:rsidR="00C10EF4" w:rsidRDefault="00695075" w:rsidP="00F53676">
            <w:pPr>
              <w:pStyle w:val="Topptekst"/>
            </w:pPr>
            <w:r>
              <w:t>08/02251-98</w:t>
            </w:r>
          </w:p>
        </w:tc>
      </w:tr>
      <w:tr w:rsidR="009A6303" w:rsidRPr="00695075" w14:paraId="6AA97206" w14:textId="77777777" w:rsidTr="00F7015A">
        <w:trPr>
          <w:trHeight w:hRule="exact" w:val="266"/>
        </w:trPr>
        <w:tc>
          <w:tcPr>
            <w:tcW w:w="4678" w:type="dxa"/>
            <w:vMerge w:val="restart"/>
          </w:tcPr>
          <w:p w14:paraId="28E9B0EF" w14:textId="77777777" w:rsidR="009552E6" w:rsidRDefault="00695075" w:rsidP="00C10EF4">
            <w:pPr>
              <w:pStyle w:val="Ingenmellomrom"/>
            </w:pPr>
            <w:r>
              <w:t>Postboks 404</w:t>
            </w:r>
          </w:p>
          <w:p w14:paraId="28357799" w14:textId="77777777" w:rsidR="00695075" w:rsidRDefault="00695075" w:rsidP="00C10EF4">
            <w:pPr>
              <w:pStyle w:val="Ingenmellomrom"/>
            </w:pPr>
            <w:r>
              <w:t>2303 Hamar</w:t>
            </w:r>
          </w:p>
        </w:tc>
        <w:tc>
          <w:tcPr>
            <w:tcW w:w="1559" w:type="dxa"/>
          </w:tcPr>
          <w:p w14:paraId="2639F9F5" w14:textId="77777777" w:rsidR="00C10EF4" w:rsidRPr="00695075" w:rsidRDefault="00C10EF4" w:rsidP="00F53676">
            <w:pPr>
              <w:pStyle w:val="Topptekst"/>
              <w:rPr>
                <w:rStyle w:val="uthevet"/>
                <w:lang w:val="nb-NO"/>
              </w:rPr>
            </w:pPr>
            <w:r w:rsidRPr="00695075">
              <w:rPr>
                <w:rStyle w:val="uthevet"/>
                <w:lang w:val="nb-NO"/>
              </w:rPr>
              <w:t>Vår referanse:</w:t>
            </w:r>
          </w:p>
        </w:tc>
        <w:tc>
          <w:tcPr>
            <w:tcW w:w="1683" w:type="dxa"/>
          </w:tcPr>
          <w:p w14:paraId="1936E986" w14:textId="1B4E57E1" w:rsidR="00C10EF4" w:rsidRPr="00695075" w:rsidRDefault="008D5943" w:rsidP="00F53676">
            <w:pPr>
              <w:pStyle w:val="Topptekst"/>
              <w:rPr>
                <w:lang w:val="nb-NO"/>
              </w:rPr>
            </w:pPr>
            <w:r>
              <w:t>2018/</w:t>
            </w:r>
            <w:r w:rsidR="0076455B">
              <w:t>185</w:t>
            </w:r>
          </w:p>
        </w:tc>
      </w:tr>
      <w:tr w:rsidR="009A6303" w:rsidRPr="00695075" w14:paraId="07683ECE" w14:textId="77777777" w:rsidTr="00F7015A">
        <w:trPr>
          <w:trHeight w:hRule="exact" w:val="1134"/>
        </w:trPr>
        <w:tc>
          <w:tcPr>
            <w:tcW w:w="4678" w:type="dxa"/>
            <w:vMerge/>
          </w:tcPr>
          <w:p w14:paraId="018840CD" w14:textId="77777777" w:rsidR="00C10EF4" w:rsidRDefault="00C10EF4" w:rsidP="00C10EF4">
            <w:pPr>
              <w:pStyle w:val="Ingenmellomrom"/>
            </w:pPr>
          </w:p>
        </w:tc>
        <w:tc>
          <w:tcPr>
            <w:tcW w:w="1559" w:type="dxa"/>
          </w:tcPr>
          <w:p w14:paraId="632AAC2C" w14:textId="77777777" w:rsidR="00C10EF4" w:rsidRPr="00695075" w:rsidRDefault="00C10EF4" w:rsidP="00F53676">
            <w:pPr>
              <w:pStyle w:val="Topptekst"/>
              <w:rPr>
                <w:rStyle w:val="uthevet"/>
                <w:lang w:val="nb-NO"/>
              </w:rPr>
            </w:pPr>
            <w:r w:rsidRPr="00695075">
              <w:rPr>
                <w:rStyle w:val="uthevet"/>
                <w:lang w:val="nb-NO"/>
              </w:rPr>
              <w:t>Dato:</w:t>
            </w:r>
          </w:p>
        </w:tc>
        <w:tc>
          <w:tcPr>
            <w:tcW w:w="1683" w:type="dxa"/>
          </w:tcPr>
          <w:p w14:paraId="771BFA8F" w14:textId="6DFDBFAB" w:rsidR="00C10EF4" w:rsidRPr="00695075" w:rsidRDefault="0076455B" w:rsidP="00F53676">
            <w:pPr>
              <w:pStyle w:val="Topptekst"/>
              <w:rPr>
                <w:lang w:val="nb-NO"/>
              </w:rPr>
            </w:pPr>
            <w:r>
              <w:fldChar w:fldCharType="begin"/>
            </w:r>
            <w:r>
              <w:instrText xml:space="preserve"> DATE  \* MERGEFORMAT </w:instrText>
            </w:r>
            <w:r>
              <w:fldChar w:fldCharType="separate"/>
            </w:r>
            <w:r w:rsidR="003F14E9">
              <w:rPr>
                <w:noProof/>
              </w:rPr>
              <w:t>22/05/2018</w:t>
            </w:r>
            <w:r>
              <w:rPr>
                <w:noProof/>
              </w:rPr>
              <w:fldChar w:fldCharType="end"/>
            </w:r>
          </w:p>
        </w:tc>
      </w:tr>
    </w:tbl>
    <w:p w14:paraId="453E2C3E" w14:textId="77777777" w:rsidR="00C10EF4" w:rsidRPr="00695075" w:rsidRDefault="00C10EF4" w:rsidP="00F53676">
      <w:pPr>
        <w:pStyle w:val="NIMTittel1"/>
        <w:rPr>
          <w:lang w:val="nb-NO"/>
        </w:rPr>
      </w:pPr>
    </w:p>
    <w:p w14:paraId="7D342455" w14:textId="77777777" w:rsidR="008D5943" w:rsidRPr="008D5943" w:rsidRDefault="008D5943" w:rsidP="008D5943">
      <w:pPr>
        <w:pStyle w:val="NIMTittel1"/>
        <w:rPr>
          <w:lang w:val="nb-NO"/>
        </w:rPr>
      </w:pPr>
      <w:r w:rsidRPr="008D5943">
        <w:rPr>
          <w:lang w:val="nb-NO"/>
        </w:rPr>
        <w:t>Høring -</w:t>
      </w:r>
      <w:r>
        <w:rPr>
          <w:lang w:val="nb-NO"/>
        </w:rPr>
        <w:t xml:space="preserve"> </w:t>
      </w:r>
      <w:r w:rsidRPr="008D5943">
        <w:rPr>
          <w:lang w:val="nb-NO"/>
        </w:rPr>
        <w:t xml:space="preserve">rapport om behandlingstilbud til personer med </w:t>
      </w:r>
    </w:p>
    <w:p w14:paraId="5462BA9A" w14:textId="77777777" w:rsidR="008908B5" w:rsidRPr="00695075" w:rsidRDefault="00CB5264" w:rsidP="00F53676">
      <w:pPr>
        <w:pStyle w:val="NIMTittel1"/>
        <w:rPr>
          <w:lang w:val="nb-NO"/>
        </w:rPr>
      </w:pPr>
      <w:r>
        <w:rPr>
          <w:lang w:val="nb-NO"/>
        </w:rPr>
        <w:t>k</w:t>
      </w:r>
      <w:r w:rsidR="008D5943" w:rsidRPr="008D5943">
        <w:rPr>
          <w:lang w:val="nb-NO"/>
        </w:rPr>
        <w:t>jønnsinkongruens-/kjønnsdysfori</w:t>
      </w:r>
    </w:p>
    <w:p w14:paraId="6A9D8B2C" w14:textId="77777777" w:rsidR="005D6279" w:rsidRPr="00597999" w:rsidRDefault="00045224" w:rsidP="005A17B7">
      <w:pPr>
        <w:pStyle w:val="Overskrift1"/>
      </w:pPr>
      <w:r>
        <w:rPr>
          <w:lang w:val="nb-NO"/>
        </w:rPr>
        <w:t>Innledning</w:t>
      </w:r>
    </w:p>
    <w:p w14:paraId="38F10009" w14:textId="77777777" w:rsidR="007028A7" w:rsidRPr="007028A7" w:rsidRDefault="007028A7" w:rsidP="007028A7">
      <w:pPr>
        <w:rPr>
          <w:lang w:val="nb-NO"/>
        </w:rPr>
      </w:pPr>
      <w:r w:rsidRPr="007028A7">
        <w:rPr>
          <w:lang w:val="nb-NO"/>
        </w:rPr>
        <w:t>Vi viser til Helse Sør-Øst sitt høringsbrev av 17. april 2018 a</w:t>
      </w:r>
      <w:bookmarkStart w:id="0" w:name="_GoBack"/>
      <w:bookmarkEnd w:id="0"/>
      <w:r w:rsidRPr="007028A7">
        <w:rPr>
          <w:lang w:val="nb-NO"/>
        </w:rPr>
        <w:t xml:space="preserve">ngående rapport om behandlingstilbud til personer med kjønnsinkongruens/kjønnsdysfori. </w:t>
      </w:r>
    </w:p>
    <w:p w14:paraId="109B2613" w14:textId="6170FF31" w:rsidR="007028A7" w:rsidRPr="007028A7" w:rsidRDefault="007028A7" w:rsidP="007C4CF7">
      <w:pPr>
        <w:rPr>
          <w:lang w:val="nb-NO"/>
        </w:rPr>
      </w:pPr>
      <w:r w:rsidRPr="007028A7">
        <w:rPr>
          <w:lang w:val="nb-NO"/>
        </w:rPr>
        <w:t>Norges nasjonale institusjon for menneskerettigheter («</w:t>
      </w:r>
      <w:r w:rsidR="00253AC7">
        <w:rPr>
          <w:lang w:val="nb-NO"/>
        </w:rPr>
        <w:t>NIM</w:t>
      </w:r>
      <w:r w:rsidRPr="007028A7">
        <w:rPr>
          <w:lang w:val="nb-NO"/>
        </w:rPr>
        <w:t>») har som hovedoppgave å fremme og beskytte menneskerettighetene i tråd med Grunnloven, menneskerettsloven og den øvrige lovgivning, internasjonale traktater og folkeretten for øvrig, jf. lov om Norges nasjonale institusjon for menneskerettigheter § 1 annet ledd. N</w:t>
      </w:r>
      <w:r w:rsidR="00F97C5A">
        <w:rPr>
          <w:lang w:val="nb-NO"/>
        </w:rPr>
        <w:t>IM</w:t>
      </w:r>
      <w:r w:rsidRPr="007028A7">
        <w:rPr>
          <w:lang w:val="nb-NO"/>
        </w:rPr>
        <w:t xml:space="preserve"> skal blant annet gi råd til regjeringen og andre offentlige organer om gjennomføringen av menneskerettighetene, jf. loven § 3 første ledd bokstav b. I dette ligger det særlig at N</w:t>
      </w:r>
      <w:r w:rsidR="00F97C5A">
        <w:rPr>
          <w:lang w:val="nb-NO"/>
        </w:rPr>
        <w:t>IM</w:t>
      </w:r>
      <w:r w:rsidRPr="007028A7">
        <w:rPr>
          <w:lang w:val="nb-NO"/>
        </w:rPr>
        <w:t xml:space="preserve"> skal avgi høringsuttalelser, jf. </w:t>
      </w:r>
      <w:proofErr w:type="spellStart"/>
      <w:r w:rsidRPr="007028A7">
        <w:rPr>
          <w:lang w:val="nb-NO"/>
        </w:rPr>
        <w:t>Innst</w:t>
      </w:r>
      <w:proofErr w:type="spellEnd"/>
      <w:r w:rsidRPr="007028A7">
        <w:rPr>
          <w:lang w:val="nb-NO"/>
        </w:rPr>
        <w:t xml:space="preserve">. 216 L (2014-2015) s. 3. </w:t>
      </w:r>
    </w:p>
    <w:p w14:paraId="2B106159" w14:textId="003F3AAA" w:rsidR="0044015B" w:rsidRPr="007C4CF7" w:rsidRDefault="007C4CF7" w:rsidP="007C4CF7">
      <w:pPr>
        <w:pStyle w:val="Stikktittel"/>
        <w:rPr>
          <w:lang w:val="nb-NO"/>
        </w:rPr>
      </w:pPr>
      <w:r w:rsidRPr="007C4CF7">
        <w:rPr>
          <w:lang w:val="nb-NO"/>
        </w:rPr>
        <w:t>N</w:t>
      </w:r>
      <w:r w:rsidR="0078531E">
        <w:rPr>
          <w:lang w:val="nb-NO"/>
        </w:rPr>
        <w:t>IM</w:t>
      </w:r>
      <w:r w:rsidRPr="007C4CF7">
        <w:rPr>
          <w:lang w:val="nb-NO"/>
        </w:rPr>
        <w:t xml:space="preserve"> har følgende bemerkninger til rapporten:</w:t>
      </w:r>
    </w:p>
    <w:p w14:paraId="2E7360E2" w14:textId="77777777" w:rsidR="00262378" w:rsidRPr="00262378" w:rsidRDefault="00262378" w:rsidP="00262378">
      <w:pPr>
        <w:pStyle w:val="Listeavsnitt"/>
        <w:rPr>
          <w:lang w:val="nb-NO"/>
        </w:rPr>
      </w:pPr>
      <w:r>
        <w:rPr>
          <w:lang w:val="nb-NO"/>
        </w:rPr>
        <w:t>h</w:t>
      </w:r>
      <w:r w:rsidRPr="00262378">
        <w:rPr>
          <w:lang w:val="nb-NO"/>
        </w:rPr>
        <w:t>øringsfristen på fem uker er svært kort</w:t>
      </w:r>
      <w:r>
        <w:rPr>
          <w:lang w:val="nb-NO"/>
        </w:rPr>
        <w:t>;</w:t>
      </w:r>
    </w:p>
    <w:p w14:paraId="1B5897DE" w14:textId="77777777" w:rsidR="0044015B" w:rsidRPr="005D4D6C" w:rsidRDefault="00262378" w:rsidP="005D4D6C">
      <w:pPr>
        <w:pStyle w:val="Listeavsnitt"/>
        <w:rPr>
          <w:lang w:val="nb-NO"/>
        </w:rPr>
      </w:pPr>
      <w:r>
        <w:rPr>
          <w:lang w:val="nb-NO"/>
        </w:rPr>
        <w:t>h</w:t>
      </w:r>
      <w:r w:rsidRPr="00262378">
        <w:rPr>
          <w:lang w:val="nb-NO"/>
        </w:rPr>
        <w:t>elsetilbudet til personer med kjønnsinkongruens/kjønnsdysfori angår grunnleggende menneskerettigheter</w:t>
      </w:r>
      <w:r>
        <w:rPr>
          <w:lang w:val="nb-NO"/>
        </w:rPr>
        <w:t>;</w:t>
      </w:r>
    </w:p>
    <w:p w14:paraId="30C6EA5A" w14:textId="77777777" w:rsidR="0044015B" w:rsidRPr="005D4D6C" w:rsidRDefault="005D4D6C" w:rsidP="005D4D6C">
      <w:pPr>
        <w:pStyle w:val="Listeavsnitt"/>
        <w:rPr>
          <w:lang w:val="nb-NO"/>
        </w:rPr>
      </w:pPr>
      <w:r>
        <w:rPr>
          <w:lang w:val="nb-NO"/>
        </w:rPr>
        <w:t>h</w:t>
      </w:r>
      <w:r w:rsidRPr="005D4D6C">
        <w:rPr>
          <w:lang w:val="nb-NO"/>
        </w:rPr>
        <w:t>ensynet til barnets beste er ikke vurdert</w:t>
      </w:r>
      <w:r w:rsidR="0044015B" w:rsidRPr="005D4D6C">
        <w:rPr>
          <w:lang w:val="nb-NO"/>
        </w:rPr>
        <w:t>; og</w:t>
      </w:r>
    </w:p>
    <w:p w14:paraId="5A195C34" w14:textId="77777777" w:rsidR="0044015B" w:rsidRPr="005D4D6C" w:rsidRDefault="005D4D6C" w:rsidP="00F53676">
      <w:pPr>
        <w:pStyle w:val="Listeavsnitt"/>
        <w:rPr>
          <w:lang w:val="nb-NO"/>
        </w:rPr>
      </w:pPr>
      <w:r>
        <w:rPr>
          <w:lang w:val="nb-NO"/>
        </w:rPr>
        <w:t>h</w:t>
      </w:r>
      <w:r w:rsidRPr="007028A7">
        <w:rPr>
          <w:lang w:val="nb-NO"/>
        </w:rPr>
        <w:t>elsetilbudet til personer med kjønnsinkongruens/kjønnsdysfori må styrkes</w:t>
      </w:r>
      <w:r w:rsidR="0044015B" w:rsidRPr="005D4D6C">
        <w:rPr>
          <w:lang w:val="nb-NO"/>
        </w:rPr>
        <w:t>.</w:t>
      </w:r>
    </w:p>
    <w:p w14:paraId="19F32B1B" w14:textId="77777777" w:rsidR="00C37C2F" w:rsidRPr="00A71D9D" w:rsidRDefault="00706B69" w:rsidP="005A17B7">
      <w:pPr>
        <w:pStyle w:val="Overskrift1"/>
        <w:rPr>
          <w:lang w:val="nb-NO"/>
        </w:rPr>
      </w:pPr>
      <w:r w:rsidRPr="00706B69">
        <w:rPr>
          <w:lang w:val="nb-NO"/>
        </w:rPr>
        <w:t>Kort høringsfrist og lite åpenhet rundt arbeidet</w:t>
      </w:r>
    </w:p>
    <w:p w14:paraId="20C97A16" w14:textId="1F1DA194" w:rsidR="00A71D9D" w:rsidRPr="00A71D9D" w:rsidRDefault="00F21AB0" w:rsidP="00A71D9D">
      <w:pPr>
        <w:rPr>
          <w:lang w:val="nb-NO"/>
        </w:rPr>
      </w:pPr>
      <w:r>
        <w:rPr>
          <w:lang w:val="nb-NO"/>
        </w:rPr>
        <w:t>N</w:t>
      </w:r>
      <w:r w:rsidR="0078531E">
        <w:rPr>
          <w:lang w:val="nb-NO"/>
        </w:rPr>
        <w:t>IM</w:t>
      </w:r>
      <w:r w:rsidR="00A71D9D" w:rsidRPr="00A71D9D">
        <w:rPr>
          <w:lang w:val="nb-NO"/>
        </w:rPr>
        <w:t xml:space="preserve"> </w:t>
      </w:r>
      <w:r>
        <w:rPr>
          <w:lang w:val="nb-NO"/>
        </w:rPr>
        <w:t>mener</w:t>
      </w:r>
      <w:r w:rsidR="00A71D9D" w:rsidRPr="00A71D9D">
        <w:rPr>
          <w:lang w:val="nb-NO"/>
        </w:rPr>
        <w:t xml:space="preserve"> at </w:t>
      </w:r>
      <w:r w:rsidR="00FB1A73">
        <w:rPr>
          <w:lang w:val="nb-NO"/>
        </w:rPr>
        <w:t>en høringsfrist</w:t>
      </w:r>
      <w:r w:rsidR="00A71D9D" w:rsidRPr="00A71D9D">
        <w:rPr>
          <w:lang w:val="nb-NO"/>
        </w:rPr>
        <w:t xml:space="preserve"> på fem uker </w:t>
      </w:r>
      <w:r w:rsidR="00FB1A73">
        <w:rPr>
          <w:lang w:val="nb-NO"/>
        </w:rPr>
        <w:t>e</w:t>
      </w:r>
      <w:r w:rsidR="00A71D9D" w:rsidRPr="00A71D9D">
        <w:rPr>
          <w:lang w:val="nb-NO"/>
        </w:rPr>
        <w:t>r svært kort og at informasjon om høringen har vært lite tilgjengelig. Spørsmålet om organisering og styrking av helsetilbudet til personer med kjønnsinkongruens/kjønnsdysfori reiser sammensatte medisinske og rettslige spørsmål. Området er preget av uenighet blant fagmiljøene, interesseorganisasjoner og pasientorganisasjon.</w:t>
      </w:r>
      <w:r w:rsidR="00A71D9D" w:rsidRPr="00A71D9D">
        <w:rPr>
          <w:vertAlign w:val="superscript"/>
          <w:lang w:val="nb-NO"/>
        </w:rPr>
        <w:footnoteReference w:id="1"/>
      </w:r>
      <w:r w:rsidR="00A71D9D" w:rsidRPr="00A71D9D">
        <w:rPr>
          <w:lang w:val="nb-NO"/>
        </w:rPr>
        <w:t xml:space="preserve"> Kompleksiteten gjør at h</w:t>
      </w:r>
      <w:r w:rsidR="00FB5561">
        <w:rPr>
          <w:lang w:val="nb-NO"/>
        </w:rPr>
        <w:t>øringsinstansene burde fått m</w:t>
      </w:r>
      <w:r w:rsidR="00A71D9D" w:rsidRPr="00A71D9D">
        <w:rPr>
          <w:lang w:val="nb-NO"/>
        </w:rPr>
        <w:t>er tid til å komme med sine bemerkninger</w:t>
      </w:r>
      <w:r w:rsidR="00253AC7">
        <w:rPr>
          <w:lang w:val="nb-NO"/>
        </w:rPr>
        <w:t>,</w:t>
      </w:r>
      <w:r w:rsidR="00A71D9D" w:rsidRPr="00A71D9D">
        <w:rPr>
          <w:lang w:val="nb-NO"/>
        </w:rPr>
        <w:t xml:space="preserve"> og at høringen </w:t>
      </w:r>
      <w:r w:rsidR="00A71D9D" w:rsidRPr="00A71D9D">
        <w:rPr>
          <w:lang w:val="nb-NO"/>
        </w:rPr>
        <w:lastRenderedPageBreak/>
        <w:t xml:space="preserve">burde blitt gjort bedre kjent. </w:t>
      </w:r>
      <w:r w:rsidR="00054C40">
        <w:rPr>
          <w:lang w:val="nb-NO"/>
        </w:rPr>
        <w:t>N</w:t>
      </w:r>
      <w:r w:rsidR="0078531E">
        <w:rPr>
          <w:lang w:val="nb-NO"/>
        </w:rPr>
        <w:t>IM</w:t>
      </w:r>
      <w:r w:rsidR="00A71D9D" w:rsidRPr="00A71D9D">
        <w:rPr>
          <w:lang w:val="nb-NO"/>
        </w:rPr>
        <w:t xml:space="preserve"> vil oppfordre til større grad av åpenhet i arbeidet med å styrke helsetilbudet til personer med kjønnsinkongruens/kjønnsdysfori for å sikre et best mulig beslutningsgrunnlag. </w:t>
      </w:r>
    </w:p>
    <w:p w14:paraId="6C5D5836" w14:textId="77777777" w:rsidR="00B60C72" w:rsidRPr="005A17B7" w:rsidRDefault="005A17B7" w:rsidP="005A17B7">
      <w:pPr>
        <w:pStyle w:val="Overskrift1"/>
        <w:rPr>
          <w:lang w:val="nb-NO"/>
        </w:rPr>
      </w:pPr>
      <w:r w:rsidRPr="005A17B7">
        <w:rPr>
          <w:lang w:val="nb-NO"/>
        </w:rPr>
        <w:t>Menneskerettslig rammeverk</w:t>
      </w:r>
    </w:p>
    <w:p w14:paraId="540DEEA0" w14:textId="77777777" w:rsidR="005A17B7" w:rsidRPr="00B60C72" w:rsidRDefault="005A17B7" w:rsidP="005A17B7">
      <w:pPr>
        <w:pStyle w:val="Overskrift2"/>
        <w:rPr>
          <w:lang w:val="nb-NO"/>
        </w:rPr>
      </w:pPr>
      <w:r>
        <w:rPr>
          <w:lang w:val="nb-NO"/>
        </w:rPr>
        <w:t>Innledning</w:t>
      </w:r>
    </w:p>
    <w:p w14:paraId="35885641" w14:textId="4D82BD6B" w:rsidR="005A17B7" w:rsidRDefault="005A17B7" w:rsidP="005A17B7">
      <w:pPr>
        <w:rPr>
          <w:lang w:val="nb-NO"/>
        </w:rPr>
      </w:pPr>
      <w:r>
        <w:rPr>
          <w:lang w:val="nb-NO"/>
        </w:rPr>
        <w:t xml:space="preserve">Arbeidsgruppen </w:t>
      </w:r>
      <w:r w:rsidRPr="005A17B7">
        <w:rPr>
          <w:lang w:val="nb-NO"/>
        </w:rPr>
        <w:t xml:space="preserve">avgrenser mot juridiske vurderinger og anser dette tilstrekkelig ivaretatt gjennom rapporten «Rett til rett kjønn – helse til alle kjønn» fra 2015. Helsetilbudet til personer med kjønnsinkongruens berører en rekke grunnleggende menneskerettigheter, som retten til helse, identitet, privatliv og ikke-diskriminering. </w:t>
      </w:r>
      <w:r w:rsidR="00054C40">
        <w:rPr>
          <w:lang w:val="nb-NO"/>
        </w:rPr>
        <w:t>N</w:t>
      </w:r>
      <w:r w:rsidR="00412DE2">
        <w:rPr>
          <w:lang w:val="nb-NO"/>
        </w:rPr>
        <w:t>IM</w:t>
      </w:r>
      <w:r w:rsidRPr="005A17B7">
        <w:rPr>
          <w:lang w:val="nb-NO"/>
        </w:rPr>
        <w:t xml:space="preserve"> mener det er uheldig at dette ikke kommer frem eller vurderes i tilknytning til de ulike forslagene. </w:t>
      </w:r>
    </w:p>
    <w:p w14:paraId="4A61C531" w14:textId="77777777" w:rsidR="005A17B7" w:rsidRPr="005A17B7" w:rsidRDefault="009772AA" w:rsidP="005A17B7">
      <w:pPr>
        <w:pStyle w:val="Overskrift2"/>
        <w:rPr>
          <w:lang w:val="nb-NO"/>
        </w:rPr>
      </w:pPr>
      <w:r>
        <w:rPr>
          <w:lang w:val="nb-NO"/>
        </w:rPr>
        <w:t>FNs konvensjon om økonomiske, sosiale og kulturelle rettigheter</w:t>
      </w:r>
    </w:p>
    <w:p w14:paraId="23D6D0E1" w14:textId="60BF5F8E" w:rsidR="005A17B7" w:rsidRPr="005A17B7" w:rsidRDefault="005A17B7" w:rsidP="005A17B7">
      <w:pPr>
        <w:rPr>
          <w:lang w:val="nb-NO"/>
        </w:rPr>
      </w:pPr>
      <w:r w:rsidRPr="005A17B7">
        <w:rPr>
          <w:lang w:val="nb-NO"/>
        </w:rPr>
        <w:t xml:space="preserve">Retten til den høyest oppnåelige helsestandard følger av FNs konvensjon om økonomiske, sosiale og kulturelle rettigheter (ØSK) artikkel 12. Rettigheten gjelder for «enhver», og dermed også for personer med kjønnsinkongruens. </w:t>
      </w:r>
      <w:r w:rsidR="000A1438">
        <w:rPr>
          <w:lang w:val="nb-NO"/>
        </w:rPr>
        <w:t xml:space="preserve">ØSK-komiteen understreker i </w:t>
      </w:r>
      <w:r w:rsidR="00316421">
        <w:rPr>
          <w:lang w:val="nb-NO"/>
        </w:rPr>
        <w:t>g</w:t>
      </w:r>
      <w:r w:rsidR="000A1438">
        <w:rPr>
          <w:lang w:val="nb-NO"/>
        </w:rPr>
        <w:t>enerell kommentar nr. 14 at r</w:t>
      </w:r>
      <w:r w:rsidRPr="005A17B7">
        <w:rPr>
          <w:lang w:val="nb-NO"/>
        </w:rPr>
        <w:t>etten til helse omfatter både psykisk og fysisk helse, men gir ikke som sådan en rett til å være frisk.</w:t>
      </w:r>
      <w:r w:rsidRPr="005A17B7">
        <w:rPr>
          <w:vertAlign w:val="superscript"/>
          <w:lang w:val="nb-NO"/>
        </w:rPr>
        <w:footnoteReference w:id="2"/>
      </w:r>
      <w:r w:rsidRPr="005A17B7">
        <w:rPr>
          <w:lang w:val="nb-NO"/>
        </w:rPr>
        <w:t xml:space="preserve"> </w:t>
      </w:r>
      <w:r w:rsidR="00B23077">
        <w:rPr>
          <w:lang w:val="nb-NO"/>
        </w:rPr>
        <w:t>ØSK-komiteen fremhever</w:t>
      </w:r>
      <w:r w:rsidR="00674D02">
        <w:rPr>
          <w:lang w:val="nb-NO"/>
        </w:rPr>
        <w:t xml:space="preserve"> i generell kommentar nr. 22 at retten også inkluderer en rett til seksuell og reproduktiv helse.</w:t>
      </w:r>
      <w:r w:rsidR="003F14B1">
        <w:rPr>
          <w:rStyle w:val="Fotnotereferanse"/>
          <w:lang w:val="nb-NO"/>
        </w:rPr>
        <w:footnoteReference w:id="3"/>
      </w:r>
      <w:r w:rsidR="00674D02">
        <w:rPr>
          <w:lang w:val="nb-NO"/>
        </w:rPr>
        <w:t xml:space="preserve"> Retten favner vidt, og omfatter også forhold som kan ha en negativ innvirkning på retten til seksuell og reproduktiv helse.</w:t>
      </w:r>
      <w:r w:rsidR="003F14B1">
        <w:rPr>
          <w:rStyle w:val="Fotnotereferanse"/>
          <w:lang w:val="nb-NO"/>
        </w:rPr>
        <w:footnoteReference w:id="4"/>
      </w:r>
      <w:r w:rsidR="00674D02">
        <w:rPr>
          <w:lang w:val="nb-NO"/>
        </w:rPr>
        <w:t xml:space="preserve"> </w:t>
      </w:r>
      <w:r w:rsidR="00B23077">
        <w:rPr>
          <w:lang w:val="nb-NO"/>
        </w:rPr>
        <w:t>Retten til helse</w:t>
      </w:r>
      <w:r w:rsidRPr="005A17B7">
        <w:rPr>
          <w:lang w:val="nb-NO"/>
        </w:rPr>
        <w:t xml:space="preserve"> gir en rett til å benytte seg av et mangfold av tilgjengelige helsetjenester som er nødvendige for å realisere den høyest oppnåelige helsestandard. I dette ligger også en rett til forsvarlig helsehjelp og helsehjelp i rett tid.</w:t>
      </w:r>
      <w:r w:rsidRPr="005A17B7">
        <w:rPr>
          <w:vertAlign w:val="superscript"/>
          <w:lang w:val="nb-NO"/>
        </w:rPr>
        <w:footnoteReference w:id="5"/>
      </w:r>
      <w:r w:rsidRPr="005A17B7">
        <w:rPr>
          <w:lang w:val="nb-NO"/>
        </w:rPr>
        <w:t xml:space="preserve"> Slik arbeidsgruppens rapport og «Rett til rett kjønn» beskriver, finnes det helsetjenester som yter kjønnsbekreftende helsehjelp til personer med kjønnsinkongruens, men helsehjelpen er ikke tilgjengelig for alle som opplever å ha behov for denne typen helsehjelp, og dermed for realisering av retten til helse.</w:t>
      </w:r>
      <w:r w:rsidR="00781B09">
        <w:rPr>
          <w:rStyle w:val="Fotnotereferanse"/>
          <w:lang w:val="nb-NO"/>
        </w:rPr>
        <w:footnoteReference w:id="6"/>
      </w:r>
      <w:r w:rsidRPr="005A17B7">
        <w:rPr>
          <w:lang w:val="nb-NO"/>
        </w:rPr>
        <w:t xml:space="preserve"> </w:t>
      </w:r>
    </w:p>
    <w:p w14:paraId="031806AF" w14:textId="6E014915" w:rsidR="005A17B7" w:rsidRPr="005A17B7" w:rsidRDefault="005A17B7" w:rsidP="005A17B7">
      <w:pPr>
        <w:rPr>
          <w:lang w:val="nb-NO"/>
        </w:rPr>
      </w:pPr>
      <w:r w:rsidRPr="005A17B7">
        <w:rPr>
          <w:lang w:val="nb-NO"/>
        </w:rPr>
        <w:t>Artikkel 12 pålegger staten en forpliktelse til å sikre, respektere og beskytte retten til helse.</w:t>
      </w:r>
      <w:r w:rsidRPr="005A17B7">
        <w:rPr>
          <w:vertAlign w:val="superscript"/>
          <w:lang w:val="nb-NO"/>
        </w:rPr>
        <w:footnoteReference w:id="7"/>
      </w:r>
      <w:r w:rsidRPr="005A17B7">
        <w:rPr>
          <w:lang w:val="nb-NO"/>
        </w:rPr>
        <w:t xml:space="preserve"> Forpliktelsene er i all hovedsak progressive, slik at staten sett hen til tilgjengelige ressurser kan oppfylle forpliktelsene gradvis. Det er likevel slik at staten etter artikkel 2(2) har en umiddelbar forpliktelse til å garantere at retten til helse utøves uten diskriminering </w:t>
      </w:r>
      <w:r w:rsidRPr="005A17B7">
        <w:rPr>
          <w:lang w:val="nb-NO"/>
        </w:rPr>
        <w:lastRenderedPageBreak/>
        <w:t>på grunnlag av blant annet kjønnsidentitet.</w:t>
      </w:r>
      <w:r w:rsidRPr="005A17B7">
        <w:rPr>
          <w:vertAlign w:val="superscript"/>
          <w:lang w:val="nb-NO"/>
        </w:rPr>
        <w:footnoteReference w:id="8"/>
      </w:r>
      <w:r w:rsidRPr="005A17B7">
        <w:rPr>
          <w:lang w:val="nb-NO"/>
        </w:rPr>
        <w:t xml:space="preserve"> Det innebærer at staten må sikre at helsetilbudet til personer med kjønnsinkongruens er tilgjengelig uten noen form for diskriminering på grunnlag av pasienters kjønnsidentitet. </w:t>
      </w:r>
      <w:r w:rsidR="00C729ED">
        <w:rPr>
          <w:lang w:val="nb-NO"/>
        </w:rPr>
        <w:t xml:space="preserve">Retten til ikke-diskriminering innebærer </w:t>
      </w:r>
      <w:r w:rsidR="00650241">
        <w:rPr>
          <w:lang w:val="nb-NO"/>
        </w:rPr>
        <w:t xml:space="preserve">også </w:t>
      </w:r>
      <w:r w:rsidR="00C729ED">
        <w:rPr>
          <w:lang w:val="nb-NO"/>
        </w:rPr>
        <w:t>at personer skal respekteres for sin kjønnsidentitet og seksuelle orientering.</w:t>
      </w:r>
      <w:r w:rsidR="00C729ED">
        <w:rPr>
          <w:rStyle w:val="Fotnotereferanse"/>
          <w:lang w:val="nb-NO"/>
        </w:rPr>
        <w:footnoteReference w:id="9"/>
      </w:r>
      <w:r w:rsidR="00C729ED">
        <w:rPr>
          <w:lang w:val="nb-NO"/>
        </w:rPr>
        <w:t xml:space="preserve"> </w:t>
      </w:r>
      <w:r w:rsidRPr="005A17B7">
        <w:rPr>
          <w:lang w:val="nb-NO"/>
        </w:rPr>
        <w:t>Staten har videre etter artikkel 2(1) en umiddelbar forpliktelse til å iverksette tiltak for å realisere retten til helse. Kjønnsbekreftende behandling skal bedre den enkeltes psykiske helse.</w:t>
      </w:r>
      <w:r w:rsidRPr="005A17B7">
        <w:rPr>
          <w:vertAlign w:val="superscript"/>
          <w:lang w:val="nb-NO"/>
        </w:rPr>
        <w:footnoteReference w:id="10"/>
      </w:r>
      <w:r w:rsidRPr="005A17B7">
        <w:rPr>
          <w:lang w:val="nb-NO"/>
        </w:rPr>
        <w:t xml:space="preserve"> For noen vil hormonbehandling, brystkirurgi og/eller genital kirurgi være nødvendig for en bedre psykisk helse og på den måten nødvendig for realisering av retten til den høyest oppnåelige helsestandard. </w:t>
      </w:r>
    </w:p>
    <w:p w14:paraId="4BC50ADD" w14:textId="77777777" w:rsidR="005A17B7" w:rsidRDefault="006B27A7" w:rsidP="005A17B7">
      <w:pPr>
        <w:pStyle w:val="Overskrift2"/>
        <w:rPr>
          <w:lang w:val="nb-NO"/>
        </w:rPr>
      </w:pPr>
      <w:r>
        <w:rPr>
          <w:lang w:val="nb-NO"/>
        </w:rPr>
        <w:t>Den europeiske menneskerettskonvensjon</w:t>
      </w:r>
    </w:p>
    <w:p w14:paraId="087A0F76" w14:textId="45F6A648" w:rsidR="005D3E9C" w:rsidRDefault="005A17B7" w:rsidP="005A17B7">
      <w:pPr>
        <w:rPr>
          <w:lang w:val="nb-NO"/>
        </w:rPr>
      </w:pPr>
      <w:r w:rsidRPr="005A17B7">
        <w:rPr>
          <w:lang w:val="nb-NO"/>
        </w:rPr>
        <w:t xml:space="preserve">Den europeiske menneskerettskonvensjonen (EMK) etablerer ingen rett til helsehjelp som sådan, men retten til helse </w:t>
      </w:r>
      <w:r w:rsidR="0078531E">
        <w:rPr>
          <w:lang w:val="nb-NO"/>
        </w:rPr>
        <w:t xml:space="preserve">er </w:t>
      </w:r>
      <w:r w:rsidRPr="005A17B7">
        <w:rPr>
          <w:lang w:val="nb-NO"/>
        </w:rPr>
        <w:t xml:space="preserve">nært knyttet til andre grunnleggende menneskerettigheter, som retten til privatliv etter Grunnloven § 102 og EMK artikkel 8. </w:t>
      </w:r>
      <w:r w:rsidR="00224534">
        <w:rPr>
          <w:lang w:val="nb-NO"/>
        </w:rPr>
        <w:t>Den europeiske menneskerett</w:t>
      </w:r>
      <w:r w:rsidRPr="005A17B7">
        <w:rPr>
          <w:lang w:val="nb-NO"/>
        </w:rPr>
        <w:t>sdomstolen (EMD) har i flere saker angående transpersoners</w:t>
      </w:r>
      <w:r w:rsidRPr="005A17B7">
        <w:rPr>
          <w:vertAlign w:val="superscript"/>
          <w:lang w:val="nb-NO"/>
        </w:rPr>
        <w:footnoteReference w:id="11"/>
      </w:r>
      <w:r w:rsidRPr="005A17B7">
        <w:rPr>
          <w:lang w:val="nb-NO"/>
        </w:rPr>
        <w:t xml:space="preserve"> rettigheter understreket </w:t>
      </w:r>
      <w:r w:rsidR="005255D2">
        <w:rPr>
          <w:lang w:val="nb-NO"/>
        </w:rPr>
        <w:t xml:space="preserve">at en persons kjønnsidentitet </w:t>
      </w:r>
      <w:r w:rsidR="00B320A4">
        <w:rPr>
          <w:lang w:val="nb-NO"/>
        </w:rPr>
        <w:t>er</w:t>
      </w:r>
      <w:r w:rsidRPr="005A17B7">
        <w:rPr>
          <w:lang w:val="nb-NO"/>
        </w:rPr>
        <w:t xml:space="preserve"> en </w:t>
      </w:r>
      <w:r w:rsidR="008E4ED8">
        <w:rPr>
          <w:lang w:val="nb-NO"/>
        </w:rPr>
        <w:t>grunnleggende side ved</w:t>
      </w:r>
      <w:r w:rsidRPr="005A17B7">
        <w:rPr>
          <w:lang w:val="nb-NO"/>
        </w:rPr>
        <w:t xml:space="preserve"> en persons identitet og beskyttet under retten til respekt for privatliv under artikkel 8.</w:t>
      </w:r>
      <w:r w:rsidRPr="005A17B7">
        <w:rPr>
          <w:vertAlign w:val="superscript"/>
          <w:lang w:val="nb-NO"/>
        </w:rPr>
        <w:footnoteReference w:id="12"/>
      </w:r>
      <w:r w:rsidRPr="005A17B7">
        <w:rPr>
          <w:lang w:val="nb-NO"/>
        </w:rPr>
        <w:t xml:space="preserve"> Kjønnsbekreftende helsehjelp, slik som hormonbehandling og brystkirurgi, kan hjelpe individer med å leve et </w:t>
      </w:r>
      <w:r w:rsidR="00081BE9">
        <w:rPr>
          <w:lang w:val="nb-NO"/>
        </w:rPr>
        <w:t>liv i overensstemmelse med egen</w:t>
      </w:r>
      <w:r w:rsidRPr="005A17B7">
        <w:rPr>
          <w:lang w:val="nb-NO"/>
        </w:rPr>
        <w:t xml:space="preserve"> kjønnsidentitet og til å bli anerkjent av sine omgivelser i overenstemmelse med egen kjønnsidentitet. Tilgang på kjønnsbekreftende behandling berører på den måten den enkeltes privatliv og regnes av EMD som medisinsk nødvendig.</w:t>
      </w:r>
      <w:r w:rsidRPr="005A17B7">
        <w:rPr>
          <w:vertAlign w:val="superscript"/>
          <w:lang w:val="nb-NO"/>
        </w:rPr>
        <w:footnoteReference w:id="13"/>
      </w:r>
      <w:r w:rsidRPr="005A17B7">
        <w:rPr>
          <w:lang w:val="nb-NO"/>
        </w:rPr>
        <w:t xml:space="preserve"> </w:t>
      </w:r>
      <w:r w:rsidR="00B334F3">
        <w:rPr>
          <w:lang w:val="nb-NO"/>
        </w:rPr>
        <w:t xml:space="preserve">Domstolen har </w:t>
      </w:r>
      <w:r w:rsidR="00242C92">
        <w:rPr>
          <w:lang w:val="nb-NO"/>
        </w:rPr>
        <w:t>konkludert med at det innebærer et brudd på retten til privatliv å anvende infertilitet som et vilkår for kjønnsbekreftende behandling,</w:t>
      </w:r>
      <w:r w:rsidR="006311A6">
        <w:rPr>
          <w:rStyle w:val="Fotnotereferanse"/>
          <w:lang w:val="nb-NO"/>
        </w:rPr>
        <w:footnoteReference w:id="14"/>
      </w:r>
      <w:r w:rsidR="00242C92">
        <w:rPr>
          <w:lang w:val="nb-NO"/>
        </w:rPr>
        <w:t xml:space="preserve"> og å måtte bevise </w:t>
      </w:r>
      <w:r w:rsidR="002E05F5">
        <w:rPr>
          <w:lang w:val="nb-NO"/>
        </w:rPr>
        <w:t xml:space="preserve">den medisinske nødvendigheten av kjønnsbekreftende behandling </w:t>
      </w:r>
      <w:r w:rsidR="00242C92">
        <w:rPr>
          <w:lang w:val="nb-NO"/>
        </w:rPr>
        <w:t xml:space="preserve">for å få dekket utgifter til </w:t>
      </w:r>
      <w:r w:rsidR="008B1239">
        <w:rPr>
          <w:lang w:val="nb-NO"/>
        </w:rPr>
        <w:t>slik</w:t>
      </w:r>
      <w:r w:rsidR="00242C92">
        <w:rPr>
          <w:lang w:val="nb-NO"/>
        </w:rPr>
        <w:t xml:space="preserve"> behandling.</w:t>
      </w:r>
      <w:r w:rsidR="006311A6">
        <w:rPr>
          <w:rStyle w:val="Fotnotereferanse"/>
          <w:lang w:val="nb-NO"/>
        </w:rPr>
        <w:footnoteReference w:id="15"/>
      </w:r>
      <w:r w:rsidR="00242C92">
        <w:rPr>
          <w:lang w:val="nb-NO"/>
        </w:rPr>
        <w:t xml:space="preserve"> Domstolen har videre konkludert med at det er i strid med artikkel 8 å gjøre dekning av utgifter til kjønnsbekreftende behandling betinget av en to års ventetid forut for kjønnsbekreftende behandling uten å </w:t>
      </w:r>
      <w:r w:rsidR="00130142">
        <w:rPr>
          <w:lang w:val="nb-NO"/>
        </w:rPr>
        <w:t>t</w:t>
      </w:r>
      <w:r w:rsidR="00242C92">
        <w:rPr>
          <w:lang w:val="nb-NO"/>
        </w:rPr>
        <w:t>a hensyn til individuelle forhold.</w:t>
      </w:r>
      <w:r w:rsidR="00130142">
        <w:rPr>
          <w:rStyle w:val="Fotnotereferanse"/>
          <w:lang w:val="nb-NO"/>
        </w:rPr>
        <w:footnoteReference w:id="16"/>
      </w:r>
      <w:r w:rsidR="00242C92">
        <w:rPr>
          <w:lang w:val="nb-NO"/>
        </w:rPr>
        <w:t xml:space="preserve"> </w:t>
      </w:r>
    </w:p>
    <w:p w14:paraId="2400982C" w14:textId="77777777" w:rsidR="005D3E9C" w:rsidRDefault="005D3E9C" w:rsidP="005A17B7">
      <w:pPr>
        <w:rPr>
          <w:lang w:val="nb-NO"/>
        </w:rPr>
      </w:pPr>
    </w:p>
    <w:p w14:paraId="3CD921B3" w14:textId="47DFD291" w:rsidR="005A17B7" w:rsidRPr="005A17B7" w:rsidRDefault="005A17B7" w:rsidP="005A17B7">
      <w:pPr>
        <w:rPr>
          <w:lang w:val="nb-NO"/>
        </w:rPr>
      </w:pPr>
      <w:r w:rsidRPr="005A17B7">
        <w:rPr>
          <w:lang w:val="nb-NO"/>
        </w:rPr>
        <w:t>Etter artikkel 14 sett i sammenheng med artikkel 8, skal retten til privatliv sikres uten noen form for diskriminering. EMD har gjennom domstolspraksis klargjort at «kjønnsidentitet» faller inn u</w:t>
      </w:r>
      <w:r w:rsidR="001E18CB">
        <w:rPr>
          <w:lang w:val="nb-NO"/>
        </w:rPr>
        <w:t>nder den åpne listen av karakteristikker</w:t>
      </w:r>
      <w:r w:rsidRPr="005A17B7">
        <w:rPr>
          <w:lang w:val="nb-NO"/>
        </w:rPr>
        <w:t xml:space="preserve"> det er forbudt å diskriminere på grunnlag av.</w:t>
      </w:r>
      <w:r w:rsidRPr="005A17B7">
        <w:rPr>
          <w:vertAlign w:val="superscript"/>
          <w:lang w:val="nb-NO"/>
        </w:rPr>
        <w:footnoteReference w:id="17"/>
      </w:r>
      <w:r w:rsidRPr="005A17B7">
        <w:rPr>
          <w:lang w:val="nb-NO"/>
        </w:rPr>
        <w:t xml:space="preserve"> Det er derfor sentralt etter både EMK og ØSK at retten til privatliv og retten til helse skal sikres uten diskriminering på grunnlag av noens kjønnsidentitet. Det samme følger av likestillings- og diskrimineringsloven § 6.</w:t>
      </w:r>
      <w:r w:rsidRPr="005A17B7">
        <w:rPr>
          <w:vertAlign w:val="superscript"/>
          <w:lang w:val="nb-NO"/>
        </w:rPr>
        <w:footnoteReference w:id="18"/>
      </w:r>
      <w:r w:rsidRPr="005A17B7">
        <w:rPr>
          <w:lang w:val="nb-NO"/>
        </w:rPr>
        <w:t xml:space="preserve"> </w:t>
      </w:r>
    </w:p>
    <w:p w14:paraId="70EEB75A" w14:textId="77777777" w:rsidR="005A17B7" w:rsidRDefault="005A17B7" w:rsidP="005A17B7">
      <w:pPr>
        <w:pStyle w:val="Overskrift1"/>
        <w:rPr>
          <w:lang w:val="nb-NO"/>
        </w:rPr>
      </w:pPr>
      <w:r w:rsidRPr="005A17B7">
        <w:rPr>
          <w:lang w:val="nb-NO"/>
        </w:rPr>
        <w:t>Manglende barneperspektiv</w:t>
      </w:r>
    </w:p>
    <w:p w14:paraId="10FCE40B" w14:textId="77777777" w:rsidR="005A17B7" w:rsidRDefault="005A17B7" w:rsidP="005A17B7">
      <w:pPr>
        <w:pStyle w:val="Overskrift2"/>
        <w:rPr>
          <w:lang w:val="nb-NO"/>
        </w:rPr>
      </w:pPr>
      <w:r>
        <w:rPr>
          <w:lang w:val="nb-NO"/>
        </w:rPr>
        <w:t>Innledning</w:t>
      </w:r>
    </w:p>
    <w:p w14:paraId="50C546A6" w14:textId="02648C7D" w:rsidR="005A17B7" w:rsidRDefault="00054C40" w:rsidP="005A17B7">
      <w:pPr>
        <w:rPr>
          <w:lang w:val="nb-NO"/>
        </w:rPr>
      </w:pPr>
      <w:r>
        <w:rPr>
          <w:lang w:val="nb-NO"/>
        </w:rPr>
        <w:t>N</w:t>
      </w:r>
      <w:r w:rsidR="0078531E">
        <w:rPr>
          <w:lang w:val="nb-NO"/>
        </w:rPr>
        <w:t>IM</w:t>
      </w:r>
      <w:r w:rsidR="005A17B7" w:rsidRPr="005A17B7">
        <w:rPr>
          <w:lang w:val="nb-NO"/>
        </w:rPr>
        <w:t xml:space="preserve"> savner et grundigere barneperspektiv i rapporten og en vurdering av hvilken betydning forslagene kan ha for barn. </w:t>
      </w:r>
      <w:r>
        <w:rPr>
          <w:lang w:val="nb-NO"/>
        </w:rPr>
        <w:t>Det er slik N</w:t>
      </w:r>
      <w:r w:rsidR="0078531E">
        <w:rPr>
          <w:lang w:val="nb-NO"/>
        </w:rPr>
        <w:t>IM</w:t>
      </w:r>
      <w:r w:rsidR="005A17B7" w:rsidRPr="005A17B7">
        <w:rPr>
          <w:lang w:val="nb-NO"/>
        </w:rPr>
        <w:t xml:space="preserve"> ser det for eksempel viktig at et forslag om opprettholdelse av dagens funksjonsfordeling bygger på en vurdering av hva et slikt forslag vil ha å si for barna det gjelder. Et sentralisert helsetilbud kan eksempelvis på grunn av lang reisevei</w:t>
      </w:r>
      <w:r w:rsidR="00A60E81">
        <w:rPr>
          <w:lang w:val="nb-NO"/>
        </w:rPr>
        <w:t xml:space="preserve"> og dermed stort skolefravær</w:t>
      </w:r>
      <w:r w:rsidR="005A17B7" w:rsidRPr="005A17B7">
        <w:rPr>
          <w:lang w:val="nb-NO"/>
        </w:rPr>
        <w:t xml:space="preserve"> få følger for barns skolegang.</w:t>
      </w:r>
    </w:p>
    <w:p w14:paraId="3B34212D" w14:textId="77777777" w:rsidR="005A17B7" w:rsidRPr="005A17B7" w:rsidRDefault="000965E9" w:rsidP="000965E9">
      <w:pPr>
        <w:pStyle w:val="Overskrift2"/>
        <w:rPr>
          <w:lang w:val="nb-NO"/>
        </w:rPr>
      </w:pPr>
      <w:r>
        <w:rPr>
          <w:lang w:val="nb-NO"/>
        </w:rPr>
        <w:t>Hensynet til barnets beste</w:t>
      </w:r>
    </w:p>
    <w:p w14:paraId="59E99124" w14:textId="73905D04" w:rsidR="000965E9" w:rsidRDefault="000965E9" w:rsidP="000B031E">
      <w:pPr>
        <w:rPr>
          <w:lang w:val="nb-NO"/>
        </w:rPr>
      </w:pPr>
      <w:r w:rsidRPr="000965E9">
        <w:rPr>
          <w:lang w:val="nb-NO"/>
        </w:rPr>
        <w:t xml:space="preserve">Det følger av Grunnloven § 104 at hensynet til barnets beste skal være et grunnleggende hensyn ved </w:t>
      </w:r>
      <w:r w:rsidR="003231D2">
        <w:rPr>
          <w:lang w:val="nb-NO"/>
        </w:rPr>
        <w:t>«</w:t>
      </w:r>
      <w:r w:rsidRPr="000965E9">
        <w:rPr>
          <w:lang w:val="nb-NO"/>
        </w:rPr>
        <w:t>handlinger og avgjørelser</w:t>
      </w:r>
      <w:r w:rsidR="003231D2">
        <w:rPr>
          <w:lang w:val="nb-NO"/>
        </w:rPr>
        <w:t>»</w:t>
      </w:r>
      <w:r w:rsidRPr="000965E9">
        <w:rPr>
          <w:lang w:val="nb-NO"/>
        </w:rPr>
        <w:t xml:space="preserve"> som vedrører barn.</w:t>
      </w:r>
      <w:r w:rsidR="003231D2">
        <w:rPr>
          <w:lang w:val="nb-NO"/>
        </w:rPr>
        <w:t xml:space="preserve"> </w:t>
      </w:r>
      <w:r w:rsidRPr="000965E9">
        <w:rPr>
          <w:lang w:val="nb-NO"/>
        </w:rPr>
        <w:t xml:space="preserve">Hensynet til barnets beste følger også av FNs barnekonvensjon artikkel 3. Hva som ligger i hensynet til barnets beste er nærmere konkretisert av FNs barnekomité i </w:t>
      </w:r>
      <w:r w:rsidR="003C71E6">
        <w:rPr>
          <w:lang w:val="nb-NO"/>
        </w:rPr>
        <w:t>g</w:t>
      </w:r>
      <w:r w:rsidRPr="000965E9">
        <w:rPr>
          <w:lang w:val="nb-NO"/>
        </w:rPr>
        <w:t>enerell kommentar nr. 14. Barnekomiteen spesifiserer at forpliktelsen til å vurdere og ta hensyn til barnets beste gjelder ved alle handlinger som direkte eller indirekte vedrører barn enten det er et individuelt barn, barn som gruppe eller barn som sådan.</w:t>
      </w:r>
      <w:r w:rsidR="00310E6F">
        <w:rPr>
          <w:rStyle w:val="Fotnotereferanse"/>
        </w:rPr>
        <w:footnoteReference w:id="19"/>
      </w:r>
      <w:r w:rsidR="00310E6F">
        <w:rPr>
          <w:lang w:val="nb-NO"/>
        </w:rPr>
        <w:t xml:space="preserve"> </w:t>
      </w:r>
      <w:r w:rsidR="003231D2">
        <w:rPr>
          <w:lang w:val="nb-NO"/>
        </w:rPr>
        <w:t>Spørsmålene om</w:t>
      </w:r>
      <w:r w:rsidR="003231D2" w:rsidRPr="00A71D9D">
        <w:rPr>
          <w:lang w:val="nb-NO"/>
        </w:rPr>
        <w:t xml:space="preserve"> organisering og styrking av helsetilbudet til personer med kjønnsinkongruens/kjønnsdysfori</w:t>
      </w:r>
      <w:r w:rsidR="003231D2">
        <w:rPr>
          <w:lang w:val="nb-NO"/>
        </w:rPr>
        <w:t xml:space="preserve"> er handlinger som også vedrører barn, og utløser en plikt til å utrede hensynet til barnets beste. </w:t>
      </w:r>
      <w:r w:rsidRPr="000965E9">
        <w:rPr>
          <w:lang w:val="nb-NO"/>
        </w:rPr>
        <w:t>Barnets beste må vurderes og forstås i lys av de særlige forholdene til den enkelte gruppen av barn.</w:t>
      </w:r>
      <w:r w:rsidR="00310E6F">
        <w:rPr>
          <w:rStyle w:val="Fotnotereferanse"/>
        </w:rPr>
        <w:footnoteReference w:id="20"/>
      </w:r>
      <w:r w:rsidR="00310E6F">
        <w:rPr>
          <w:lang w:val="nb-NO"/>
        </w:rPr>
        <w:t xml:space="preserve"> </w:t>
      </w:r>
      <w:r w:rsidRPr="000965E9">
        <w:rPr>
          <w:lang w:val="nb-NO"/>
        </w:rPr>
        <w:t>Det innebærer at barnets beste må vurderes i lys av livssituasjonen til barn med kjønnsinkongruens. Komiteen understreker at hensikten med barnets beste er å sikre rettighetene til barn etter barnekonvensjonen og barns holistiske utvikling.</w:t>
      </w:r>
      <w:r w:rsidR="00310E6F">
        <w:rPr>
          <w:rStyle w:val="Fotnotereferanse"/>
        </w:rPr>
        <w:footnoteReference w:id="21"/>
      </w:r>
      <w:r w:rsidRPr="000965E9">
        <w:rPr>
          <w:lang w:val="nb-NO"/>
        </w:rPr>
        <w:t xml:space="preserve">  </w:t>
      </w:r>
    </w:p>
    <w:p w14:paraId="7071EB17" w14:textId="77777777" w:rsidR="000965E9" w:rsidRDefault="000965E9" w:rsidP="000965E9">
      <w:pPr>
        <w:pStyle w:val="Overskrift2"/>
        <w:rPr>
          <w:lang w:val="nb-NO"/>
        </w:rPr>
      </w:pPr>
      <w:r>
        <w:rPr>
          <w:lang w:val="nb-NO"/>
        </w:rPr>
        <w:t xml:space="preserve">Andre </w:t>
      </w:r>
      <w:r w:rsidR="00B7781E">
        <w:rPr>
          <w:lang w:val="nb-NO"/>
        </w:rPr>
        <w:t>relevante bestemmelser</w:t>
      </w:r>
      <w:r>
        <w:rPr>
          <w:lang w:val="nb-NO"/>
        </w:rPr>
        <w:t xml:space="preserve"> etter barnekonvensjonen</w:t>
      </w:r>
    </w:p>
    <w:p w14:paraId="5D54C977" w14:textId="11C36767" w:rsidR="007E640F" w:rsidRPr="007E640F" w:rsidRDefault="00054C40" w:rsidP="007E640F">
      <w:pPr>
        <w:rPr>
          <w:lang w:val="nb-NO"/>
        </w:rPr>
      </w:pPr>
      <w:r>
        <w:rPr>
          <w:lang w:val="nb-NO"/>
        </w:rPr>
        <w:lastRenderedPageBreak/>
        <w:t>E</w:t>
      </w:r>
      <w:r w:rsidR="007E640F" w:rsidRPr="007E640F">
        <w:rPr>
          <w:lang w:val="nb-NO"/>
        </w:rPr>
        <w:t>n rekke andre bestemme</w:t>
      </w:r>
      <w:r>
        <w:rPr>
          <w:lang w:val="nb-NO"/>
        </w:rPr>
        <w:t>lser under barnekonvensjonen</w:t>
      </w:r>
      <w:r w:rsidR="007E640F" w:rsidRPr="007E640F">
        <w:rPr>
          <w:lang w:val="nb-NO"/>
        </w:rPr>
        <w:t xml:space="preserve"> er særlig relevante for spørsmålet om helsetilbudet til barn med kjønnsinkongruens. Etter barnekonvensjonen artikkel 2 er staten forpliktet til å respektere og sikre rettighetene under konvensjonen uten noen form for diskriminering. Barnekomiteen har tolket sekkebestemmelsen «annen status» til å omfatte «kjønnsidentitet».</w:t>
      </w:r>
      <w:r w:rsidR="00063F75">
        <w:rPr>
          <w:rStyle w:val="Fotnotereferanse"/>
        </w:rPr>
        <w:footnoteReference w:id="22"/>
      </w:r>
      <w:r w:rsidR="007E640F" w:rsidRPr="007E640F">
        <w:rPr>
          <w:lang w:val="nb-NO"/>
        </w:rPr>
        <w:t xml:space="preserve"> Barn har videre en rett til identitet etter a</w:t>
      </w:r>
      <w:r w:rsidR="004A67C3">
        <w:rPr>
          <w:lang w:val="nb-NO"/>
        </w:rPr>
        <w:t>rtikkel 8. I juridisk teori</w:t>
      </w:r>
      <w:r w:rsidR="007E640F" w:rsidRPr="007E640F">
        <w:rPr>
          <w:lang w:val="nb-NO"/>
        </w:rPr>
        <w:t xml:space="preserve"> forstås «kjønnsidentitet» som en del av retten til identitet etter artikkel 8.</w:t>
      </w:r>
      <w:r w:rsidR="007E7E5E">
        <w:rPr>
          <w:rStyle w:val="Fotnotereferanse"/>
        </w:rPr>
        <w:footnoteReference w:id="23"/>
      </w:r>
      <w:r w:rsidR="007E640F" w:rsidRPr="007E640F">
        <w:rPr>
          <w:lang w:val="nb-NO"/>
        </w:rPr>
        <w:t xml:space="preserve"> Bestemmelsen kan forstås som å innebære en rett for barn til nødvendig kjønnsbekreftende behandling, men slik at innholdet i helsehjelpen må fastlegges i lys av retten til helse (artikkel 24) og retten til utvikling (artikkel 6).</w:t>
      </w:r>
      <w:r w:rsidR="00BC23F8">
        <w:rPr>
          <w:rStyle w:val="Fotnotereferanse"/>
        </w:rPr>
        <w:footnoteReference w:id="24"/>
      </w:r>
      <w:r w:rsidR="00E0154E">
        <w:rPr>
          <w:lang w:val="nb-NO"/>
        </w:rPr>
        <w:t xml:space="preserve"> </w:t>
      </w:r>
      <w:r w:rsidR="007E640F" w:rsidRPr="007E640F">
        <w:rPr>
          <w:lang w:val="nb-NO"/>
        </w:rPr>
        <w:t>Artikkel 16 om retten til privat</w:t>
      </w:r>
      <w:r w:rsidR="000B0C46">
        <w:rPr>
          <w:lang w:val="nb-NO"/>
        </w:rPr>
        <w:t>liv forstås også i juridisk teori</w:t>
      </w:r>
      <w:r w:rsidR="007E640F" w:rsidRPr="007E640F">
        <w:rPr>
          <w:lang w:val="nb-NO"/>
        </w:rPr>
        <w:t xml:space="preserve"> dithen at bestemmelsen i likhet med artikkel 8 etter EMK omfatter den enkeltes kjønnsidentitet.</w:t>
      </w:r>
      <w:r w:rsidR="000A72A5">
        <w:rPr>
          <w:rStyle w:val="Fotnotereferanse"/>
        </w:rPr>
        <w:footnoteReference w:id="25"/>
      </w:r>
      <w:r w:rsidR="000A72A5">
        <w:rPr>
          <w:lang w:val="nb-NO"/>
        </w:rPr>
        <w:t xml:space="preserve"> </w:t>
      </w:r>
      <w:r w:rsidR="007E640F" w:rsidRPr="007E640F">
        <w:rPr>
          <w:lang w:val="nb-NO"/>
        </w:rPr>
        <w:t>Barn har ikke en rett til selvbestemmelse etter artikkel 16, men bestemmelsen setter en skranke for inngrep i barnets rett til privatliv, inkludert kjønnsidentitet. Barn har videre en rett til å bli hørt og til å få sine meninger tillagt vekt etter artikkel 12, og slik delta i avgjørelser om eget liv. Det innebærer at i avgjørelser som vedrører barnets kjønnsidentitet, slik som spørsmål om kjønnsbekreftende helsehjelp,</w:t>
      </w:r>
      <w:r w:rsidR="00B91695">
        <w:rPr>
          <w:lang w:val="nb-NO"/>
        </w:rPr>
        <w:t xml:space="preserve"> </w:t>
      </w:r>
      <w:r w:rsidR="00B91695" w:rsidRPr="0059167A">
        <w:rPr>
          <w:lang w:val="nb-NO"/>
        </w:rPr>
        <w:t>skal barnets mening tillegges behørig vekt</w:t>
      </w:r>
      <w:r w:rsidR="007E640F" w:rsidRPr="007E640F">
        <w:rPr>
          <w:lang w:val="nb-NO"/>
        </w:rPr>
        <w:t>.</w:t>
      </w:r>
      <w:r w:rsidR="00CC4C16">
        <w:rPr>
          <w:rStyle w:val="Fotnotereferanse"/>
        </w:rPr>
        <w:footnoteReference w:id="26"/>
      </w:r>
      <w:r w:rsidR="007E640F" w:rsidRPr="007E640F">
        <w:rPr>
          <w:lang w:val="nb-NO"/>
        </w:rPr>
        <w:t xml:space="preserve">   </w:t>
      </w:r>
    </w:p>
    <w:p w14:paraId="5B22DCD4" w14:textId="6156833E" w:rsidR="007E640F" w:rsidRDefault="007E640F" w:rsidP="007E640F">
      <w:pPr>
        <w:rPr>
          <w:lang w:val="nb-NO"/>
        </w:rPr>
      </w:pPr>
      <w:r w:rsidRPr="007E640F">
        <w:rPr>
          <w:lang w:val="nb-NO"/>
        </w:rPr>
        <w:t xml:space="preserve">Etter artikkel 24 har barn en «rett til å nyte godt av den høyest oppnåelige helsestandard og til behandlingstilbud for sykdom og rehabilitering. Partene skal bestrebe seg på å sikre at ingen barn fratas sin rett til </w:t>
      </w:r>
      <w:r w:rsidR="00E0154E">
        <w:rPr>
          <w:lang w:val="nb-NO"/>
        </w:rPr>
        <w:t>adgang til slike helsetjenester</w:t>
      </w:r>
      <w:r w:rsidRPr="007E640F">
        <w:rPr>
          <w:lang w:val="nb-NO"/>
        </w:rPr>
        <w:t>»</w:t>
      </w:r>
      <w:r w:rsidR="00E0154E">
        <w:rPr>
          <w:lang w:val="nb-NO"/>
        </w:rPr>
        <w:t>.</w:t>
      </w:r>
      <w:r w:rsidRPr="007E640F">
        <w:rPr>
          <w:lang w:val="nb-NO"/>
        </w:rPr>
        <w:t xml:space="preserve"> I likhet med forståelsen av «helse» under ØSK, må «helse» etter artikkel 24 forstås bredt og til å omfatte både psykisk og fysisk helse. Det innebærer at kjønnsbekreftende helsehjelp som kan bedre barns helse, må være tilgjengelig. For barn som har behov for pubertetsutsettende behandling, hormonbehandling og/eller brystkirurgi kan denne typen behandling være viktig for å </w:t>
      </w:r>
      <w:r w:rsidRPr="007E640F">
        <w:rPr>
          <w:lang w:val="nb-NO"/>
        </w:rPr>
        <w:lastRenderedPageBreak/>
        <w:t>bedre barnets helse og for å sikre at barnets rett til helse realiseres.</w:t>
      </w:r>
      <w:r w:rsidR="002D3F0F">
        <w:rPr>
          <w:rStyle w:val="Fotnotereferanse"/>
        </w:rPr>
        <w:footnoteReference w:id="27"/>
      </w:r>
      <w:r w:rsidRPr="007E640F">
        <w:rPr>
          <w:lang w:val="nb-NO"/>
        </w:rPr>
        <w:t xml:space="preserve"> Staten er forpliktet til å sikre retten til helse uten diskriminering.</w:t>
      </w:r>
      <w:r w:rsidR="002D3F0F">
        <w:rPr>
          <w:rStyle w:val="Fotnotereferanse"/>
          <w:lang w:val="nb-NO"/>
        </w:rPr>
        <w:footnoteReference w:id="28"/>
      </w:r>
    </w:p>
    <w:p w14:paraId="637E9F62" w14:textId="77777777" w:rsidR="007E640F" w:rsidRDefault="000A4A2B" w:rsidP="000A4A2B">
      <w:pPr>
        <w:pStyle w:val="Overskrift1"/>
        <w:rPr>
          <w:lang w:val="nb-NO"/>
        </w:rPr>
      </w:pPr>
      <w:r w:rsidRPr="000A4A2B">
        <w:rPr>
          <w:lang w:val="nb-NO"/>
        </w:rPr>
        <w:t>Helsetilbudet må styrkes gjennom faktiske endringer</w:t>
      </w:r>
    </w:p>
    <w:p w14:paraId="0BB561CC" w14:textId="77777777" w:rsidR="00C95293" w:rsidRDefault="00C95293" w:rsidP="00C95293">
      <w:pPr>
        <w:pStyle w:val="Overskrift2"/>
        <w:rPr>
          <w:lang w:val="nb-NO"/>
        </w:rPr>
      </w:pPr>
      <w:r>
        <w:rPr>
          <w:lang w:val="nb-NO"/>
        </w:rPr>
        <w:t>Innledning</w:t>
      </w:r>
    </w:p>
    <w:p w14:paraId="487597DD" w14:textId="023396EF" w:rsidR="000A4A2B" w:rsidRDefault="00D164A9" w:rsidP="000A4A2B">
      <w:pPr>
        <w:rPr>
          <w:lang w:val="nb-NO"/>
        </w:rPr>
      </w:pPr>
      <w:r>
        <w:rPr>
          <w:lang w:val="nb-NO"/>
        </w:rPr>
        <w:t>NIM er bekymret for at personer med kjønnsinkongruens sin</w:t>
      </w:r>
      <w:r w:rsidRPr="007E640F">
        <w:rPr>
          <w:lang w:val="nb-NO"/>
        </w:rPr>
        <w:t xml:space="preserve"> rett til helse ikke ivaretas under dagens praksis, og etterlyser derfor en styrking av helsetilbudet. </w:t>
      </w:r>
      <w:r w:rsidR="00E82C27" w:rsidRPr="007E640F">
        <w:rPr>
          <w:lang w:val="nb-NO"/>
        </w:rPr>
        <w:t>Vi har</w:t>
      </w:r>
      <w:r w:rsidR="00E82C27">
        <w:rPr>
          <w:lang w:val="nb-NO"/>
        </w:rPr>
        <w:t xml:space="preserve"> </w:t>
      </w:r>
      <w:r w:rsidR="00E82C27" w:rsidRPr="007E640F">
        <w:rPr>
          <w:lang w:val="nb-NO"/>
        </w:rPr>
        <w:t xml:space="preserve">uttrykt vår bekymring </w:t>
      </w:r>
      <w:r w:rsidR="00E82C27">
        <w:rPr>
          <w:lang w:val="nb-NO"/>
        </w:rPr>
        <w:t>til FNs barnekomité. NIM</w:t>
      </w:r>
      <w:r w:rsidR="00E82C27" w:rsidRPr="007E640F">
        <w:rPr>
          <w:lang w:val="nb-NO"/>
        </w:rPr>
        <w:t xml:space="preserve"> har i den forbindelse anbefalt at staten tar grep for å styrke helsetilbudet til barn som opplever å ha en kjønnsidentitet som ikke samsvarer med kjønnet de ble tillagt ved fødselen.</w:t>
      </w:r>
      <w:r w:rsidR="00E82C27">
        <w:rPr>
          <w:rStyle w:val="Fotnotereferanse"/>
        </w:rPr>
        <w:footnoteReference w:id="29"/>
      </w:r>
      <w:r w:rsidR="00E82C27" w:rsidRPr="007E640F">
        <w:rPr>
          <w:lang w:val="nb-NO"/>
        </w:rPr>
        <w:t xml:space="preserve"> </w:t>
      </w:r>
      <w:r w:rsidR="00866722">
        <w:rPr>
          <w:lang w:val="nb-NO"/>
        </w:rPr>
        <w:t>N</w:t>
      </w:r>
      <w:r w:rsidR="0078531E">
        <w:rPr>
          <w:lang w:val="nb-NO"/>
        </w:rPr>
        <w:t>IM</w:t>
      </w:r>
      <w:r w:rsidR="000A4A2B" w:rsidRPr="000A4A2B">
        <w:rPr>
          <w:lang w:val="nb-NO"/>
        </w:rPr>
        <w:t xml:space="preserve"> understreker viktigheten av gode prosesser for å avgjøre hvordan helsetilbudet kan styrkes på best mulig måte og viktigheten av at arbeidsprosesser fører til reell endring og styrking av helsetilbudet.</w:t>
      </w:r>
    </w:p>
    <w:p w14:paraId="624FE16F" w14:textId="77777777" w:rsidR="00C95293" w:rsidRPr="000A4A2B" w:rsidRDefault="00390135" w:rsidP="00390135">
      <w:pPr>
        <w:pStyle w:val="Overskrift2"/>
        <w:rPr>
          <w:lang w:val="nb-NO"/>
        </w:rPr>
      </w:pPr>
      <w:r>
        <w:rPr>
          <w:lang w:val="nb-NO"/>
        </w:rPr>
        <w:t>Arbeidet med å styrke behandlingstilbudet</w:t>
      </w:r>
    </w:p>
    <w:p w14:paraId="2D884B99" w14:textId="5D6179CF" w:rsidR="000A4A2B" w:rsidRPr="000A4A2B" w:rsidRDefault="00FE4DC5" w:rsidP="000A4A2B">
      <w:pPr>
        <w:rPr>
          <w:lang w:val="nb-NO"/>
        </w:rPr>
      </w:pPr>
      <w:r>
        <w:rPr>
          <w:lang w:val="nb-NO"/>
        </w:rPr>
        <w:t>N</w:t>
      </w:r>
      <w:r w:rsidR="0078531E">
        <w:rPr>
          <w:lang w:val="nb-NO"/>
        </w:rPr>
        <w:t>IM</w:t>
      </w:r>
      <w:r w:rsidR="000A4A2B" w:rsidRPr="000A4A2B">
        <w:rPr>
          <w:lang w:val="nb-NO"/>
        </w:rPr>
        <w:t xml:space="preserve"> minner om at arbeidet med å styrke helsetilbudet til personer med kjønnsinkongruens har pågått i mange år uten at det har ført til vesentlige endringer. Helse- og omsorgsdepartementet ga i 2010 Helsedirektoratet følgende oppdrag: «Helsedirektoratet skal i samarbeid med aktuelle miljøer gjennomgå behandlingstilbudet til transsek</w:t>
      </w:r>
      <w:r>
        <w:rPr>
          <w:lang w:val="nb-NO"/>
        </w:rPr>
        <w:t>suelle og transpersoner i Norge</w:t>
      </w:r>
      <w:r w:rsidR="000A4A2B" w:rsidRPr="000A4A2B">
        <w:rPr>
          <w:lang w:val="nb-NO"/>
        </w:rPr>
        <w:t>»</w:t>
      </w:r>
      <w:r>
        <w:rPr>
          <w:lang w:val="nb-NO"/>
        </w:rPr>
        <w:t>.</w:t>
      </w:r>
      <w:r w:rsidR="00547CB9">
        <w:rPr>
          <w:rStyle w:val="Fotnotereferanse"/>
          <w:lang w:val="nb-NO"/>
        </w:rPr>
        <w:footnoteReference w:id="30"/>
      </w:r>
      <w:r w:rsidR="000A4A2B" w:rsidRPr="000A4A2B">
        <w:rPr>
          <w:lang w:val="nb-NO"/>
        </w:rPr>
        <w:t xml:space="preserve"> </w:t>
      </w:r>
      <w:r w:rsidR="00D7711B">
        <w:rPr>
          <w:lang w:val="nb-NO"/>
        </w:rPr>
        <w:t xml:space="preserve">Helsedirektoratets rapportutkast ble i </w:t>
      </w:r>
      <w:r w:rsidR="000A4A2B" w:rsidRPr="000A4A2B">
        <w:rPr>
          <w:lang w:val="nb-NO"/>
        </w:rPr>
        <w:t xml:space="preserve"> 2011 sendt på høring til aktører som under Helsedirektoratets arbeid bi</w:t>
      </w:r>
      <w:r w:rsidR="00FE7D7F">
        <w:rPr>
          <w:lang w:val="nb-NO"/>
        </w:rPr>
        <w:t>dro med innspill til rapporten.</w:t>
      </w:r>
      <w:r w:rsidR="00FE7D7F">
        <w:rPr>
          <w:rStyle w:val="Fotnotereferanse"/>
        </w:rPr>
        <w:footnoteReference w:id="31"/>
      </w:r>
      <w:r w:rsidR="00877613">
        <w:rPr>
          <w:lang w:val="nb-NO"/>
        </w:rPr>
        <w:t xml:space="preserve"> I 2012, e</w:t>
      </w:r>
      <w:r w:rsidR="000A4A2B" w:rsidRPr="000A4A2B">
        <w:rPr>
          <w:lang w:val="nb-NO"/>
        </w:rPr>
        <w:t>tter en vesentlig endring</w:t>
      </w:r>
      <w:r w:rsidR="00877613">
        <w:rPr>
          <w:lang w:val="nb-NO"/>
        </w:rPr>
        <w:t>,</w:t>
      </w:r>
      <w:r w:rsidR="000A4A2B" w:rsidRPr="000A4A2B">
        <w:rPr>
          <w:lang w:val="nb-NO"/>
        </w:rPr>
        <w:t xml:space="preserve"> ble rapporten oversendt til </w:t>
      </w:r>
      <w:r w:rsidR="00F151E3">
        <w:rPr>
          <w:lang w:val="nb-NO"/>
        </w:rPr>
        <w:t>Helse- og omsorgsdepartementet.</w:t>
      </w:r>
      <w:r w:rsidR="00F151E3">
        <w:rPr>
          <w:rStyle w:val="Fotnotereferanse"/>
        </w:rPr>
        <w:footnoteReference w:id="32"/>
      </w:r>
      <w:r w:rsidR="000A4A2B" w:rsidRPr="000A4A2B">
        <w:rPr>
          <w:lang w:val="nb-NO"/>
        </w:rPr>
        <w:t xml:space="preserve"> I likhet med rapporten som nå er på høring, var denne prosessen preget av stor grad av uenighet.</w:t>
      </w:r>
      <w:r w:rsidR="00F151E3">
        <w:rPr>
          <w:rStyle w:val="Fotnotereferanse"/>
        </w:rPr>
        <w:footnoteReference w:id="33"/>
      </w:r>
      <w:r w:rsidR="00F151E3" w:rsidRPr="00F151E3">
        <w:rPr>
          <w:lang w:val="nb-NO"/>
        </w:rPr>
        <w:t xml:space="preserve"> </w:t>
      </w:r>
      <w:r w:rsidR="000A4A2B" w:rsidRPr="000A4A2B">
        <w:rPr>
          <w:lang w:val="nb-NO"/>
        </w:rPr>
        <w:t xml:space="preserve">På bakgrunn av gjennomgangen av behandlingstilbudet foreslo Helsedirektoratet i 2012 blant annet at «direktoratet i samarbeid med de regionale helseforetak nedsetter en arbeidsgruppe som vurderer om det bør utpekes kliniske fagmiljøer i hvert RHF som bygger opp spesifikk kompetanse til å </w:t>
      </w:r>
      <w:r w:rsidR="000A4A2B" w:rsidRPr="000A4A2B">
        <w:rPr>
          <w:lang w:val="nb-NO"/>
        </w:rPr>
        <w:lastRenderedPageBreak/>
        <w:t xml:space="preserve">ta seg av pasienter med </w:t>
      </w:r>
      <w:r w:rsidR="004F58BD">
        <w:rPr>
          <w:lang w:val="nb-NO"/>
        </w:rPr>
        <w:t>kjønnsidentitetsforstyrrelser».</w:t>
      </w:r>
      <w:r w:rsidR="004F58BD">
        <w:rPr>
          <w:rStyle w:val="Fotnotereferanse"/>
        </w:rPr>
        <w:footnoteReference w:id="34"/>
      </w:r>
      <w:r w:rsidR="000A4A2B" w:rsidRPr="000A4A2B">
        <w:rPr>
          <w:lang w:val="nb-NO"/>
        </w:rPr>
        <w:t xml:space="preserve"> Direktoratet anbefalte videre at det bør tas initiativ for å etablere et tilbud om fornyet vurdering for personer som søker kjønnsbekreftende behandling.</w:t>
      </w:r>
      <w:r w:rsidR="00F64DD6">
        <w:rPr>
          <w:rStyle w:val="Fotnotereferanse"/>
        </w:rPr>
        <w:footnoteReference w:id="35"/>
      </w:r>
      <w:r w:rsidR="000A4A2B" w:rsidRPr="000A4A2B">
        <w:rPr>
          <w:lang w:val="nb-NO"/>
        </w:rPr>
        <w:t xml:space="preserve"> </w:t>
      </w:r>
    </w:p>
    <w:p w14:paraId="60C8F21D" w14:textId="77777777" w:rsidR="008032B2" w:rsidRDefault="000A4A2B" w:rsidP="000A4A2B">
      <w:pPr>
        <w:rPr>
          <w:lang w:val="nb-NO"/>
        </w:rPr>
      </w:pPr>
      <w:r w:rsidRPr="000A4A2B">
        <w:rPr>
          <w:lang w:val="nb-NO"/>
        </w:rPr>
        <w:t xml:space="preserve">I desember 2013 nedsatte Helsedirektoratet på oppdrag fra Helse- og omsorgsdepartementet en arbeidsgruppe med blant annet mandat til å «vurdere behovene for </w:t>
      </w:r>
      <w:proofErr w:type="spellStart"/>
      <w:r w:rsidRPr="000A4A2B">
        <w:rPr>
          <w:lang w:val="nb-NO"/>
        </w:rPr>
        <w:t>og</w:t>
      </w:r>
      <w:proofErr w:type="spellEnd"/>
      <w:r w:rsidRPr="000A4A2B">
        <w:rPr>
          <w:lang w:val="nb-NO"/>
        </w:rPr>
        <w:t xml:space="preserve"> foreslå endringer i dagens pasient- og behandlingstilbud til pers</w:t>
      </w:r>
      <w:r w:rsidR="00FE4DC5">
        <w:rPr>
          <w:lang w:val="nb-NO"/>
        </w:rPr>
        <w:t>oner som opplever kjønnsdysfori</w:t>
      </w:r>
      <w:r w:rsidRPr="000A4A2B">
        <w:rPr>
          <w:lang w:val="nb-NO"/>
        </w:rPr>
        <w:t>»</w:t>
      </w:r>
      <w:r w:rsidR="00FE4DC5">
        <w:rPr>
          <w:lang w:val="nb-NO"/>
        </w:rPr>
        <w:t>.</w:t>
      </w:r>
      <w:r w:rsidRPr="000A4A2B">
        <w:rPr>
          <w:lang w:val="nb-NO"/>
        </w:rPr>
        <w:t xml:space="preserve"> Arbeidsgruppen avleverte sin rapport «Rett til rett kjønn – helse til alle kjønn» i april 2015. Rapporten viste store mangler i helsetilbudet til personer med kjønnsinkongruens/kjønnsdysfori. Ekspertgruppen konkluderte enstemmig, og basert på en gjennomgang av relevant lovgivning, med at flere personer enn de som har et tilbud gjennom </w:t>
      </w:r>
      <w:r w:rsidR="00877613">
        <w:rPr>
          <w:lang w:val="nb-NO"/>
        </w:rPr>
        <w:t>Nasjonal behandlingstjeneste for transseksualisme (</w:t>
      </w:r>
      <w:r w:rsidRPr="000A4A2B">
        <w:rPr>
          <w:lang w:val="nb-NO"/>
        </w:rPr>
        <w:t>NBTS</w:t>
      </w:r>
      <w:r w:rsidR="00877613">
        <w:rPr>
          <w:lang w:val="nb-NO"/>
        </w:rPr>
        <w:t>)</w:t>
      </w:r>
      <w:r w:rsidRPr="000A4A2B">
        <w:rPr>
          <w:lang w:val="nb-NO"/>
        </w:rPr>
        <w:t xml:space="preserve"> bør få tilgang til kjønnsbekreftende helsehjelp og har en rett til helsehjelp etter pasientrettighetsloven og menneskerettighetene. Ekspertgruppen delte seg i et flertall og et mindretall når det kom til anbefalingene om hvordan helsetilbudet burde styrkes. Flertallet mente at helsetilbudet må desentraliseres for å sikre et helsetilbud til de som ikke har det under dagens organisering av helsetilbudet. Mindretallet mente at Nasjonal behandlingstjeneste for transseksualisme må styrkes. Ekspertgruppens rapport ble sendt på hø</w:t>
      </w:r>
      <w:r w:rsidR="004E6187">
        <w:rPr>
          <w:lang w:val="nb-NO"/>
        </w:rPr>
        <w:t>ring i 2015</w:t>
      </w:r>
      <w:r w:rsidR="00D445B4">
        <w:rPr>
          <w:rStyle w:val="Fotnotereferanse"/>
        </w:rPr>
        <w:footnoteReference w:id="36"/>
      </w:r>
      <w:r w:rsidR="004E6187">
        <w:rPr>
          <w:lang w:val="nb-NO"/>
        </w:rPr>
        <w:t xml:space="preserve"> </w:t>
      </w:r>
      <w:r w:rsidRPr="000A4A2B">
        <w:rPr>
          <w:lang w:val="nb-NO"/>
        </w:rPr>
        <w:t xml:space="preserve">før ny arbeidsgruppe ble nedsatt av de regionale </w:t>
      </w:r>
      <w:r w:rsidR="00FE4DC5">
        <w:rPr>
          <w:lang w:val="nb-NO"/>
        </w:rPr>
        <w:t xml:space="preserve">helseforetakene i 2017. </w:t>
      </w:r>
    </w:p>
    <w:p w14:paraId="17FD31F5" w14:textId="77777777" w:rsidR="000A4A2B" w:rsidRPr="000A4A2B" w:rsidRDefault="00FE4DC5" w:rsidP="000A4A2B">
      <w:pPr>
        <w:rPr>
          <w:lang w:val="nb-NO"/>
        </w:rPr>
      </w:pPr>
      <w:r>
        <w:rPr>
          <w:lang w:val="nb-NO"/>
        </w:rPr>
        <w:t>Slik Nasjonal institusjon</w:t>
      </w:r>
      <w:r w:rsidR="000A4A2B" w:rsidRPr="000A4A2B">
        <w:rPr>
          <w:lang w:val="nb-NO"/>
        </w:rPr>
        <w:t xml:space="preserve"> ser det</w:t>
      </w:r>
      <w:r w:rsidR="00380CB2">
        <w:rPr>
          <w:lang w:val="nb-NO"/>
        </w:rPr>
        <w:t>,</w:t>
      </w:r>
      <w:r w:rsidR="000A4A2B" w:rsidRPr="000A4A2B">
        <w:rPr>
          <w:lang w:val="nb-NO"/>
        </w:rPr>
        <w:t xml:space="preserve"> viser gjennomgangen at arbeidet med å styrke helsetilbudet til personer med kjønnsinkongruens bærer preg av stadig nye prosesser som ikke fører til reell endring i helsetilbudet</w:t>
      </w:r>
      <w:r w:rsidR="00380CB2">
        <w:rPr>
          <w:lang w:val="nb-NO"/>
        </w:rPr>
        <w:t>,</w:t>
      </w:r>
      <w:r w:rsidR="000A4A2B" w:rsidRPr="000A4A2B">
        <w:rPr>
          <w:lang w:val="nb-NO"/>
        </w:rPr>
        <w:t xml:space="preserve"> annet enn at Nasjonal behandlingstjen</w:t>
      </w:r>
      <w:r w:rsidR="00157566">
        <w:rPr>
          <w:lang w:val="nb-NO"/>
        </w:rPr>
        <w:t>este for transseksualisme</w:t>
      </w:r>
      <w:r w:rsidR="000A4A2B" w:rsidRPr="000A4A2B">
        <w:rPr>
          <w:lang w:val="nb-NO"/>
        </w:rPr>
        <w:t xml:space="preserve"> i 2017 ble delt mellom Barne- og ungdomsklinikken og Nevroklinikken på Oslo Universitetssykehus, Rikshospitalet.</w:t>
      </w:r>
      <w:r w:rsidR="009E7910">
        <w:rPr>
          <w:rStyle w:val="Fotnotereferanse"/>
        </w:rPr>
        <w:footnoteReference w:id="37"/>
      </w:r>
      <w:r w:rsidR="000A4A2B" w:rsidRPr="000A4A2B">
        <w:rPr>
          <w:lang w:val="nb-NO"/>
        </w:rPr>
        <w:t xml:space="preserve"> </w:t>
      </w:r>
    </w:p>
    <w:p w14:paraId="67723B4D" w14:textId="4AD340DF" w:rsidR="00390135" w:rsidRDefault="00DF28B4" w:rsidP="00390135">
      <w:pPr>
        <w:pStyle w:val="Overskrift2"/>
        <w:rPr>
          <w:lang w:val="nb-NO"/>
        </w:rPr>
      </w:pPr>
      <w:r>
        <w:rPr>
          <w:lang w:val="nb-NO"/>
        </w:rPr>
        <w:t>Avsluttende</w:t>
      </w:r>
      <w:r w:rsidR="00327B18">
        <w:rPr>
          <w:lang w:val="nb-NO"/>
        </w:rPr>
        <w:t xml:space="preserve"> anbefalinger</w:t>
      </w:r>
      <w:r w:rsidR="00390135">
        <w:rPr>
          <w:lang w:val="nb-NO"/>
        </w:rPr>
        <w:t xml:space="preserve"> </w:t>
      </w:r>
    </w:p>
    <w:p w14:paraId="254403E0" w14:textId="6F13D0EC" w:rsidR="00D52AC4" w:rsidRPr="00AC1A8E" w:rsidRDefault="00FE4DC5" w:rsidP="00373A3C">
      <w:pPr>
        <w:rPr>
          <w:lang w:val="nb-NO"/>
        </w:rPr>
      </w:pPr>
      <w:r>
        <w:rPr>
          <w:lang w:val="nb-NO"/>
        </w:rPr>
        <w:t>N</w:t>
      </w:r>
      <w:r w:rsidR="0078531E">
        <w:rPr>
          <w:lang w:val="nb-NO"/>
        </w:rPr>
        <w:t>IM</w:t>
      </w:r>
      <w:r w:rsidR="000A4A2B" w:rsidRPr="000A4A2B">
        <w:rPr>
          <w:lang w:val="nb-NO"/>
        </w:rPr>
        <w:t xml:space="preserve"> er bekymret for at arbeidsgruppens rapport ikke gir det nød</w:t>
      </w:r>
      <w:r>
        <w:rPr>
          <w:lang w:val="nb-NO"/>
        </w:rPr>
        <w:t xml:space="preserve">vendige </w:t>
      </w:r>
      <w:r w:rsidR="00DF28B4">
        <w:rPr>
          <w:lang w:val="nb-NO"/>
        </w:rPr>
        <w:t>beslutning</w:t>
      </w:r>
      <w:r>
        <w:rPr>
          <w:lang w:val="nb-NO"/>
        </w:rPr>
        <w:t xml:space="preserve">sgrunnlaget. </w:t>
      </w:r>
      <w:r w:rsidR="00373A3C">
        <w:rPr>
          <w:lang w:val="nb-NO"/>
        </w:rPr>
        <w:t xml:space="preserve">NIM anbefaler at de gjennomførte utredningene ses </w:t>
      </w:r>
      <w:r w:rsidR="00D164A9">
        <w:rPr>
          <w:lang w:val="nb-NO"/>
        </w:rPr>
        <w:t xml:space="preserve">i sammenheng, og </w:t>
      </w:r>
      <w:r w:rsidR="00373A3C">
        <w:rPr>
          <w:lang w:val="nb-NO"/>
        </w:rPr>
        <w:t>at det</w:t>
      </w:r>
      <w:r w:rsidR="00D164A9">
        <w:rPr>
          <w:lang w:val="nb-NO"/>
        </w:rPr>
        <w:t xml:space="preserve"> </w:t>
      </w:r>
      <w:r w:rsidR="00373A3C">
        <w:rPr>
          <w:lang w:val="nb-NO"/>
        </w:rPr>
        <w:t>gjennomføres</w:t>
      </w:r>
      <w:r w:rsidR="00D164A9">
        <w:rPr>
          <w:lang w:val="nb-NO"/>
        </w:rPr>
        <w:t xml:space="preserve"> endringer som styrker helsetilbudet til person</w:t>
      </w:r>
      <w:r w:rsidR="00373A3C">
        <w:rPr>
          <w:lang w:val="nb-NO"/>
        </w:rPr>
        <w:t xml:space="preserve">er med kjønnsinkongruens og </w:t>
      </w:r>
      <w:r w:rsidR="009B07C1">
        <w:rPr>
          <w:lang w:val="nb-NO"/>
        </w:rPr>
        <w:t xml:space="preserve">som </w:t>
      </w:r>
      <w:r w:rsidR="00D164A9">
        <w:rPr>
          <w:lang w:val="nb-NO"/>
        </w:rPr>
        <w:t xml:space="preserve">ivaretar deres grunnleggende menneskerettigheter. </w:t>
      </w:r>
      <w:r w:rsidR="00373A3C">
        <w:rPr>
          <w:lang w:val="nb-NO"/>
        </w:rPr>
        <w:t xml:space="preserve">NIM anbefaler videre at hensynet til barnets beste </w:t>
      </w:r>
      <w:r w:rsidR="009B07C1">
        <w:rPr>
          <w:lang w:val="nb-NO"/>
        </w:rPr>
        <w:t xml:space="preserve">i tråd med Grunnloven § 104 og </w:t>
      </w:r>
      <w:r w:rsidR="009B07C1">
        <w:rPr>
          <w:lang w:val="nb-NO"/>
        </w:rPr>
        <w:lastRenderedPageBreak/>
        <w:t xml:space="preserve">barnekonvensjonen artikkel 3 </w:t>
      </w:r>
      <w:r w:rsidR="00373A3C">
        <w:rPr>
          <w:lang w:val="nb-NO"/>
        </w:rPr>
        <w:t xml:space="preserve">tas inn som en integrert og uttrykkelig del av </w:t>
      </w:r>
      <w:r w:rsidR="005D7F25">
        <w:rPr>
          <w:lang w:val="nb-NO"/>
        </w:rPr>
        <w:t xml:space="preserve">den individuelle </w:t>
      </w:r>
      <w:r w:rsidR="00373A3C">
        <w:rPr>
          <w:lang w:val="nb-NO"/>
        </w:rPr>
        <w:t xml:space="preserve">vurderingen av </w:t>
      </w:r>
      <w:r w:rsidR="005D7F25">
        <w:rPr>
          <w:lang w:val="nb-NO"/>
        </w:rPr>
        <w:t xml:space="preserve">hva slags helsehjelp barn med kjønnsinkongruens </w:t>
      </w:r>
      <w:r w:rsidR="00373A3C">
        <w:rPr>
          <w:lang w:val="nb-NO"/>
        </w:rPr>
        <w:t>skal tilbys.</w:t>
      </w:r>
    </w:p>
    <w:tbl>
      <w:tblPr>
        <w:tblStyle w:val="Tabellrutenett"/>
        <w:tblpPr w:leftFromText="141" w:rightFromText="141" w:vertAnchor="text" w:tblpY="118"/>
        <w:tblW w:w="7938" w:type="dxa"/>
        <w:tblCellMar>
          <w:left w:w="0" w:type="dxa"/>
          <w:right w:w="0" w:type="dxa"/>
        </w:tblCellMar>
        <w:tblLook w:val="04A0" w:firstRow="1" w:lastRow="0" w:firstColumn="1" w:lastColumn="0" w:noHBand="0" w:noVBand="1"/>
      </w:tblPr>
      <w:tblGrid>
        <w:gridCol w:w="3983"/>
        <w:gridCol w:w="3955"/>
      </w:tblGrid>
      <w:tr w:rsidR="007F2229" w:rsidRPr="0076455B" w14:paraId="5FD0FA1A" w14:textId="77777777" w:rsidTr="00734383">
        <w:trPr>
          <w:trHeight w:val="643"/>
        </w:trPr>
        <w:tc>
          <w:tcPr>
            <w:tcW w:w="7938" w:type="dxa"/>
            <w:gridSpan w:val="2"/>
            <w:tcBorders>
              <w:top w:val="nil"/>
              <w:left w:val="nil"/>
              <w:bottom w:val="nil"/>
              <w:right w:val="nil"/>
            </w:tcBorders>
          </w:tcPr>
          <w:p w14:paraId="3D556358" w14:textId="77777777" w:rsidR="00D52AC4" w:rsidRDefault="00863975" w:rsidP="00734383">
            <w:pPr>
              <w:pStyle w:val="Ingenmellomrom"/>
            </w:pPr>
            <w:r>
              <w:t>V</w:t>
            </w:r>
            <w:r w:rsidR="00D52AC4">
              <w:t>ennlig hilsen</w:t>
            </w:r>
          </w:p>
          <w:p w14:paraId="0FD0FEF0" w14:textId="77777777" w:rsidR="00D52AC4" w:rsidRPr="00D52AC4" w:rsidRDefault="00D52AC4" w:rsidP="00734383">
            <w:pPr>
              <w:pStyle w:val="Ingenmellomrom"/>
            </w:pPr>
            <w:r>
              <w:t>for Norges nasjonale institusjon for menneskerettigheter</w:t>
            </w:r>
          </w:p>
        </w:tc>
      </w:tr>
      <w:tr w:rsidR="007F2229" w:rsidRPr="0076455B" w14:paraId="7A0D2292" w14:textId="77777777" w:rsidTr="008746C6">
        <w:trPr>
          <w:trHeight w:val="1205"/>
        </w:trPr>
        <w:tc>
          <w:tcPr>
            <w:tcW w:w="7938" w:type="dxa"/>
            <w:gridSpan w:val="2"/>
            <w:tcBorders>
              <w:top w:val="nil"/>
              <w:left w:val="nil"/>
              <w:bottom w:val="nil"/>
              <w:right w:val="nil"/>
            </w:tcBorders>
          </w:tcPr>
          <w:p w14:paraId="6F17AB22" w14:textId="77777777" w:rsidR="00D52AC4" w:rsidRPr="00AC1A8E" w:rsidRDefault="00D52AC4" w:rsidP="00F53676">
            <w:pPr>
              <w:rPr>
                <w:lang w:val="nb-NO"/>
              </w:rPr>
            </w:pPr>
          </w:p>
        </w:tc>
      </w:tr>
      <w:tr w:rsidR="00F53676" w14:paraId="3AFCA53C" w14:textId="77777777" w:rsidTr="00734383">
        <w:trPr>
          <w:trHeight w:val="789"/>
        </w:trPr>
        <w:tc>
          <w:tcPr>
            <w:tcW w:w="3983" w:type="dxa"/>
            <w:tcBorders>
              <w:top w:val="nil"/>
              <w:left w:val="nil"/>
              <w:bottom w:val="nil"/>
              <w:right w:val="nil"/>
            </w:tcBorders>
          </w:tcPr>
          <w:p w14:paraId="64F4388B" w14:textId="02E53B01" w:rsidR="00152E3A" w:rsidRDefault="00F9354F" w:rsidP="00F53676">
            <w:r>
              <w:t>Petter Wille</w:t>
            </w:r>
          </w:p>
          <w:p w14:paraId="082A0FEE" w14:textId="29ECE61E" w:rsidR="00152E3A" w:rsidRDefault="00F9354F" w:rsidP="00F53676">
            <w:proofErr w:type="spellStart"/>
            <w:r>
              <w:t>Direktør</w:t>
            </w:r>
            <w:proofErr w:type="spellEnd"/>
          </w:p>
        </w:tc>
        <w:tc>
          <w:tcPr>
            <w:tcW w:w="3955" w:type="dxa"/>
            <w:tcBorders>
              <w:top w:val="nil"/>
              <w:left w:val="nil"/>
              <w:bottom w:val="nil"/>
              <w:right w:val="nil"/>
            </w:tcBorders>
          </w:tcPr>
          <w:p w14:paraId="50B1D25C" w14:textId="2C6BEC56" w:rsidR="00152E3A" w:rsidRDefault="003E2BF6" w:rsidP="00F53676">
            <w:r>
              <w:t>Anniken Sørlie</w:t>
            </w:r>
          </w:p>
          <w:p w14:paraId="50DFF667" w14:textId="7EBFC058" w:rsidR="00152E3A" w:rsidRDefault="00F9354F" w:rsidP="00F53676">
            <w:proofErr w:type="spellStart"/>
            <w:r>
              <w:t>Seniorrådgiver</w:t>
            </w:r>
            <w:proofErr w:type="spellEnd"/>
          </w:p>
        </w:tc>
      </w:tr>
    </w:tbl>
    <w:p w14:paraId="095BC425" w14:textId="77777777" w:rsidR="009C108F" w:rsidRDefault="009C108F" w:rsidP="00F53676"/>
    <w:p w14:paraId="20806EA6" w14:textId="77777777" w:rsidR="0021739E" w:rsidRPr="000B031E" w:rsidRDefault="009C108F" w:rsidP="00F53676">
      <w:pPr>
        <w:rPr>
          <w:lang w:val="nb-NO"/>
        </w:rPr>
      </w:pPr>
      <w:r w:rsidRPr="000B031E">
        <w:rPr>
          <w:lang w:val="nb-NO"/>
        </w:rPr>
        <w:t>Dette dokumentet er elektronisk godkjent og har dermed ingen signatur</w:t>
      </w:r>
      <w:r w:rsidR="006E6923" w:rsidRPr="000B031E">
        <w:rPr>
          <w:lang w:val="nb-NO"/>
        </w:rPr>
        <w:t>.</w:t>
      </w:r>
    </w:p>
    <w:sectPr w:rsidR="0021739E" w:rsidRPr="000B031E" w:rsidSect="008F10A7">
      <w:headerReference w:type="even" r:id="rId8"/>
      <w:footerReference w:type="even" r:id="rId9"/>
      <w:footerReference w:type="default" r:id="rId10"/>
      <w:headerReference w:type="first" r:id="rId11"/>
      <w:footerReference w:type="first" r:id="rId12"/>
      <w:pgSz w:w="11900" w:h="16840" w:code="9"/>
      <w:pgMar w:top="2268" w:right="1985" w:bottom="1985"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5D68A" w14:textId="77777777" w:rsidR="00643937" w:rsidRDefault="00643937" w:rsidP="00F53676">
      <w:r>
        <w:separator/>
      </w:r>
    </w:p>
    <w:p w14:paraId="21B46F7C" w14:textId="77777777" w:rsidR="00643937" w:rsidRDefault="00643937" w:rsidP="00F53676"/>
    <w:p w14:paraId="2225AB8F" w14:textId="77777777" w:rsidR="00643937" w:rsidRDefault="00643937" w:rsidP="00F53676"/>
  </w:endnote>
  <w:endnote w:type="continuationSeparator" w:id="0">
    <w:p w14:paraId="3F041BB0" w14:textId="77777777" w:rsidR="00643937" w:rsidRDefault="00643937" w:rsidP="00F53676">
      <w:r>
        <w:continuationSeparator/>
      </w:r>
    </w:p>
    <w:p w14:paraId="1BA7009D" w14:textId="77777777" w:rsidR="00643937" w:rsidRDefault="00643937" w:rsidP="00F53676"/>
    <w:p w14:paraId="70CF3A0F" w14:textId="77777777" w:rsidR="00643937" w:rsidRDefault="00643937" w:rsidP="00F53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8BC6F" w14:textId="77777777" w:rsidR="007F2229" w:rsidRDefault="007F2229" w:rsidP="00F53676">
    <w:pPr>
      <w:pStyle w:val="Bunntekst"/>
      <w:rPr>
        <w:rStyle w:val="Sidetall"/>
      </w:rPr>
    </w:pPr>
    <w:r>
      <w:rPr>
        <w:rStyle w:val="Sidetall"/>
      </w:rPr>
      <w:fldChar w:fldCharType="begin"/>
    </w:r>
    <w:r>
      <w:rPr>
        <w:rStyle w:val="Sidetall"/>
      </w:rPr>
      <w:instrText xml:space="preserve">PAGE  </w:instrText>
    </w:r>
    <w:r>
      <w:rPr>
        <w:rStyle w:val="Sidetall"/>
      </w:rPr>
      <w:fldChar w:fldCharType="end"/>
    </w:r>
  </w:p>
  <w:p w14:paraId="51D1C2D8" w14:textId="77777777" w:rsidR="001414FD" w:rsidRDefault="001414FD" w:rsidP="00F53676">
    <w:pPr>
      <w:pStyle w:val="Bunntekst"/>
      <w:rPr>
        <w:rStyle w:val="Sidetall"/>
      </w:rPr>
    </w:pPr>
  </w:p>
  <w:p w14:paraId="772CAE1C" w14:textId="77777777" w:rsidR="009856E2" w:rsidRDefault="009856E2" w:rsidP="00F53676">
    <w:pPr>
      <w:pStyle w:val="Bunntekst"/>
      <w:rPr>
        <w:rStyle w:val="Sidetall"/>
      </w:rPr>
    </w:pPr>
    <w:r>
      <w:rPr>
        <w:rStyle w:val="Sidetall"/>
      </w:rPr>
      <w:fldChar w:fldCharType="begin"/>
    </w:r>
    <w:r>
      <w:rPr>
        <w:rStyle w:val="Sidetall"/>
      </w:rPr>
      <w:instrText xml:space="preserve">PAGE  </w:instrText>
    </w:r>
    <w:r>
      <w:rPr>
        <w:rStyle w:val="Sidetall"/>
      </w:rPr>
      <w:fldChar w:fldCharType="end"/>
    </w:r>
  </w:p>
  <w:p w14:paraId="0820599E" w14:textId="77777777" w:rsidR="009856E2" w:rsidRDefault="009856E2" w:rsidP="00F53676">
    <w:pPr>
      <w:pStyle w:val="Bunntekst"/>
    </w:pPr>
  </w:p>
  <w:p w14:paraId="5C1AB62C" w14:textId="77777777" w:rsidR="00F125FC" w:rsidRDefault="00F125FC" w:rsidP="00F53676"/>
  <w:p w14:paraId="07CBA389" w14:textId="77777777" w:rsidR="00F125FC" w:rsidRDefault="00F125FC" w:rsidP="00F536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09C9" w14:textId="77777777" w:rsidR="007F2229" w:rsidRDefault="007F2229" w:rsidP="00F53676">
    <w:pPr>
      <w:pStyle w:val="Bunntekst"/>
    </w:pPr>
    <w:r>
      <w:rPr>
        <w:noProof/>
        <w:lang w:val="nb-NO" w:eastAsia="nb-NO"/>
      </w:rPr>
      <mc:AlternateContent>
        <mc:Choice Requires="wps">
          <w:drawing>
            <wp:inline distT="0" distB="0" distL="0" distR="0" wp14:anchorId="577177C4" wp14:editId="370C71A5">
              <wp:extent cx="5040000" cy="2540"/>
              <wp:effectExtent l="0" t="0" r="40005" b="48260"/>
              <wp:docPr id="2" name="Rett linje 16"/>
              <wp:cNvGraphicFramePr/>
              <a:graphic xmlns:a="http://schemas.openxmlformats.org/drawingml/2006/main">
                <a:graphicData uri="http://schemas.microsoft.com/office/word/2010/wordprocessingShape">
                  <wps:wsp>
                    <wps:cNvCnPr/>
                    <wps:spPr>
                      <a:xfrm>
                        <a:off x="0" y="0"/>
                        <a:ext cx="5040000"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DCD8A02" id="Rett linje 16" o:spid="_x0000_s1026" style="visibility:visible;mso-wrap-style:square;mso-left-percent:-10001;mso-top-percent:-10001;mso-position-horizontal:absolute;mso-position-horizontal-relative:char;mso-position-vertical:absolute;mso-position-vertical-relative:line;mso-left-percent:-10001;mso-top-percent:-10001" from="0,0" to="396.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" strokecolor="#151643 [3213]" strokeweight=".5pt">
              <v:stroke joinstyle="miter"/>
              <w10:anchorlock/>
            </v:line>
          </w:pict>
        </mc:Fallback>
      </mc:AlternateContent>
    </w:r>
  </w:p>
  <w:tbl>
    <w:tblPr>
      <w:tblStyle w:val="Tabellrutenett"/>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7938"/>
    </w:tblGrid>
    <w:tr w:rsidR="007F2229" w14:paraId="5F7FE114" w14:textId="77777777" w:rsidTr="008746C6">
      <w:trPr>
        <w:trHeight w:hRule="exact" w:val="397"/>
      </w:trPr>
      <w:tc>
        <w:tcPr>
          <w:tcW w:w="8953" w:type="dxa"/>
        </w:tcPr>
        <w:p w14:paraId="57D3480C" w14:textId="2A2B3185" w:rsidR="007F2229" w:rsidRPr="003272E4" w:rsidRDefault="007F2229" w:rsidP="000B031E">
          <w:pPr>
            <w:pStyle w:val="Bunntekst"/>
            <w:jc w:val="right"/>
          </w:pPr>
          <w:r>
            <w:rPr>
              <w:rStyle w:val="Sidetall"/>
            </w:rPr>
            <w:fldChar w:fldCharType="begin"/>
          </w:r>
          <w:r>
            <w:rPr>
              <w:rStyle w:val="Sidetall"/>
            </w:rPr>
            <w:instrText xml:space="preserve">PAGE  </w:instrText>
          </w:r>
          <w:r>
            <w:rPr>
              <w:rStyle w:val="Sidetall"/>
            </w:rPr>
            <w:fldChar w:fldCharType="separate"/>
          </w:r>
          <w:r w:rsidR="0076455B">
            <w:rPr>
              <w:rStyle w:val="Sidetall"/>
              <w:noProof/>
            </w:rPr>
            <w:t>2</w:t>
          </w:r>
          <w:r>
            <w:rPr>
              <w:rStyle w:val="Sidetall"/>
            </w:rPr>
            <w:fldChar w:fldCharType="end"/>
          </w:r>
        </w:p>
      </w:tc>
    </w:tr>
  </w:tbl>
  <w:p w14:paraId="47EAAB9C" w14:textId="77777777" w:rsidR="007F2229" w:rsidRDefault="007F2229" w:rsidP="00F536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F2AA6" w14:textId="77777777" w:rsidR="00A976FC" w:rsidRDefault="001301B2" w:rsidP="00F53676">
    <w:pPr>
      <w:pStyle w:val="Bunntekst"/>
    </w:pPr>
    <w:r>
      <w:rPr>
        <w:noProof/>
        <w:lang w:val="nb-NO" w:eastAsia="nb-NO"/>
      </w:rPr>
      <mc:AlternateContent>
        <mc:Choice Requires="wps">
          <w:drawing>
            <wp:inline distT="0" distB="0" distL="0" distR="0" wp14:anchorId="639B1166" wp14:editId="4EF76CBE">
              <wp:extent cx="5040000" cy="2540"/>
              <wp:effectExtent l="0" t="0" r="40005" b="48260"/>
              <wp:docPr id="16" name="Rett linje 16"/>
              <wp:cNvGraphicFramePr/>
              <a:graphic xmlns:a="http://schemas.openxmlformats.org/drawingml/2006/main">
                <a:graphicData uri="http://schemas.microsoft.com/office/word/2010/wordprocessingShape">
                  <wps:wsp>
                    <wps:cNvCnPr/>
                    <wps:spPr>
                      <a:xfrm>
                        <a:off x="0" y="0"/>
                        <a:ext cx="5040000"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E0B635D" id="Rett linje 16" o:spid="_x0000_s1026" style="visibility:visible;mso-wrap-style:square;mso-left-percent:-10001;mso-top-percent:-10001;mso-position-horizontal:absolute;mso-position-horizontal-relative:char;mso-position-vertical:absolute;mso-position-vertical-relative:line;mso-left-percent:-10001;mso-top-percent:-10001" from="0,0" to="396.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" strokecolor="#151643 [3213]" strokeweight=".5pt">
              <v:stroke joinstyle="miter"/>
              <w10:anchorlock/>
            </v:line>
          </w:pict>
        </mc:Fallback>
      </mc:AlternateContent>
    </w:r>
  </w:p>
  <w:tbl>
    <w:tblPr>
      <w:tblStyle w:val="Tabellrutenett"/>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7938"/>
    </w:tblGrid>
    <w:tr w:rsidR="008746C6" w:rsidRPr="0076455B" w14:paraId="47FC0D36" w14:textId="77777777" w:rsidTr="008746C6">
      <w:trPr>
        <w:trHeight w:val="1"/>
      </w:trPr>
      <w:tc>
        <w:tcPr>
          <w:tcW w:w="7969" w:type="dxa"/>
        </w:tcPr>
        <w:p w14:paraId="43C3C226" w14:textId="77777777" w:rsidR="002F60C4" w:rsidRPr="00AC1A8E" w:rsidRDefault="005422A1" w:rsidP="00761B05">
          <w:pPr>
            <w:pStyle w:val="Bunntekst"/>
            <w:tabs>
              <w:tab w:val="clear" w:pos="3261"/>
              <w:tab w:val="clear" w:pos="3686"/>
              <w:tab w:val="clear" w:pos="5387"/>
              <w:tab w:val="clear" w:pos="5812"/>
              <w:tab w:val="left" w:pos="3508"/>
              <w:tab w:val="left" w:pos="4081"/>
              <w:tab w:val="left" w:pos="5870"/>
              <w:tab w:val="left" w:pos="6379"/>
            </w:tabs>
            <w:rPr>
              <w:lang w:val="nb-NO"/>
            </w:rPr>
          </w:pPr>
          <w:r w:rsidRPr="00721718">
            <w:rPr>
              <w:rStyle w:val="uthevet"/>
              <w:lang w:val="nb-NO"/>
            </w:rPr>
            <w:t>Postadresse:</w:t>
          </w:r>
          <w:r w:rsidRPr="00721718">
            <w:rPr>
              <w:lang w:val="nb-NO"/>
            </w:rPr>
            <w:t xml:space="preserve"> Postboks 299 Sentrum, 0103 Oslo </w:t>
          </w:r>
          <w:r w:rsidRPr="00721718">
            <w:rPr>
              <w:lang w:val="nb-NO"/>
            </w:rPr>
            <w:tab/>
            <w:t xml:space="preserve">– </w:t>
          </w:r>
          <w:r w:rsidRPr="00721718">
            <w:rPr>
              <w:lang w:val="nb-NO"/>
            </w:rPr>
            <w:tab/>
          </w:r>
          <w:proofErr w:type="spellStart"/>
          <w:r w:rsidRPr="00721718">
            <w:rPr>
              <w:rStyle w:val="uthevet"/>
              <w:lang w:val="nb-NO"/>
            </w:rPr>
            <w:t>Tlf</w:t>
          </w:r>
          <w:proofErr w:type="spellEnd"/>
          <w:r w:rsidRPr="00721718">
            <w:rPr>
              <w:rStyle w:val="uthevet"/>
              <w:lang w:val="nb-NO"/>
            </w:rPr>
            <w:t>:</w:t>
          </w:r>
          <w:r w:rsidRPr="00721718">
            <w:rPr>
              <w:lang w:val="nb-NO"/>
            </w:rPr>
            <w:t xml:space="preserve"> (+47) 23 31 69 70 </w:t>
          </w:r>
          <w:r w:rsidRPr="00721718">
            <w:rPr>
              <w:lang w:val="nb-NO"/>
            </w:rPr>
            <w:tab/>
            <w:t xml:space="preserve">– </w:t>
          </w:r>
          <w:r w:rsidRPr="00721718">
            <w:rPr>
              <w:lang w:val="nb-NO"/>
            </w:rPr>
            <w:tab/>
          </w:r>
          <w:r w:rsidRPr="00721718">
            <w:rPr>
              <w:rStyle w:val="uthevet"/>
              <w:lang w:val="nb-NO"/>
            </w:rPr>
            <w:t>Webside:</w:t>
          </w:r>
          <w:r w:rsidRPr="00721718">
            <w:rPr>
              <w:lang w:val="nb-NO"/>
            </w:rPr>
            <w:t xml:space="preserve"> www.nhri.no</w:t>
          </w:r>
        </w:p>
      </w:tc>
    </w:tr>
  </w:tbl>
  <w:p w14:paraId="2B93BB04" w14:textId="77777777" w:rsidR="001301B2" w:rsidRPr="00AC1A8E" w:rsidRDefault="001301B2" w:rsidP="00F53676">
    <w:pPr>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4CCB5" w14:textId="77777777" w:rsidR="00643937" w:rsidRDefault="00643937" w:rsidP="00F53676">
      <w:pPr>
        <w:pStyle w:val="Fotnotetekst"/>
      </w:pPr>
      <w:r>
        <w:separator/>
      </w:r>
    </w:p>
  </w:footnote>
  <w:footnote w:type="continuationSeparator" w:id="0">
    <w:p w14:paraId="3DE150D7" w14:textId="77777777" w:rsidR="00643937" w:rsidRDefault="00643937" w:rsidP="00F53676">
      <w:r>
        <w:continuationSeparator/>
      </w:r>
    </w:p>
    <w:p w14:paraId="07E72266" w14:textId="77777777" w:rsidR="00643937" w:rsidRDefault="00643937" w:rsidP="00F53676"/>
    <w:p w14:paraId="491F51CF" w14:textId="77777777" w:rsidR="00643937" w:rsidRDefault="00643937" w:rsidP="00F53676"/>
  </w:footnote>
  <w:footnote w:id="1">
    <w:p w14:paraId="05138414" w14:textId="77777777" w:rsidR="00A71D9D" w:rsidRPr="00A71D9D" w:rsidRDefault="00A71D9D" w:rsidP="00A71D9D">
      <w:pPr>
        <w:pStyle w:val="Fotnotetekst"/>
        <w:rPr>
          <w:lang w:val="nb-NO"/>
        </w:rPr>
      </w:pPr>
      <w:r>
        <w:rPr>
          <w:rStyle w:val="Fotnotereferanse"/>
        </w:rPr>
        <w:footnoteRef/>
      </w:r>
      <w:r w:rsidRPr="00A71D9D">
        <w:rPr>
          <w:lang w:val="nb-NO"/>
        </w:rPr>
        <w:t xml:space="preserve"> Dette kommer blant annet til uttrykk i tilleggskommentarene fra enkelte av arbeidsgruppens medlemmer. Tilleggskommentarene er tilgjengelig her: </w:t>
      </w:r>
      <w:r w:rsidR="0076455B">
        <w:fldChar w:fldCharType="begin"/>
      </w:r>
      <w:r w:rsidR="0076455B" w:rsidRPr="0076455B">
        <w:rPr>
          <w:lang w:val="nb-NO"/>
        </w:rPr>
        <w:instrText xml:space="preserve"> HYPERLINK "https://www.helse-sorost.no/nyheter/behandlingstilbudet-ved-manglende-samsvar-mellom-kjonnsidentitet-og-kropp/tilleggskommentarer" </w:instrText>
      </w:r>
      <w:r w:rsidR="0076455B">
        <w:fldChar w:fldCharType="separate"/>
      </w:r>
      <w:r w:rsidRPr="00A71D9D">
        <w:rPr>
          <w:rStyle w:val="Hyperkobling"/>
          <w:lang w:val="nb-NO"/>
        </w:rPr>
        <w:t>https://www.helse-sorost.no/nyheter/behandlingstilbudet-ved-manglende-samsvar-mellom-kjonnsidentitet-og-kropp/tilleggskommentarer</w:t>
      </w:r>
      <w:r w:rsidR="0076455B">
        <w:rPr>
          <w:rStyle w:val="Hyperkobling"/>
          <w:lang w:val="nb-NO"/>
        </w:rPr>
        <w:fldChar w:fldCharType="end"/>
      </w:r>
      <w:r w:rsidRPr="00A71D9D">
        <w:rPr>
          <w:lang w:val="nb-NO"/>
        </w:rPr>
        <w:t xml:space="preserve"> </w:t>
      </w:r>
    </w:p>
  </w:footnote>
  <w:footnote w:id="2">
    <w:p w14:paraId="58BE9894" w14:textId="52D428AD" w:rsidR="005A17B7" w:rsidRPr="005A17B7" w:rsidRDefault="005A17B7" w:rsidP="005A17B7">
      <w:pPr>
        <w:pStyle w:val="Fotnotetekst"/>
        <w:rPr>
          <w:lang w:val="nb-NO"/>
        </w:rPr>
      </w:pPr>
      <w:r>
        <w:rPr>
          <w:rStyle w:val="Fotnotereferanse"/>
        </w:rPr>
        <w:footnoteRef/>
      </w:r>
      <w:r w:rsidRPr="005A17B7">
        <w:rPr>
          <w:lang w:val="nb-NO"/>
        </w:rPr>
        <w:t xml:space="preserve"> </w:t>
      </w:r>
      <w:r w:rsidR="00A73D59">
        <w:rPr>
          <w:lang w:val="nb-NO"/>
        </w:rPr>
        <w:t>E/C.12/2000/4</w:t>
      </w:r>
      <w:r w:rsidRPr="005A17B7">
        <w:rPr>
          <w:lang w:val="nb-NO"/>
        </w:rPr>
        <w:t xml:space="preserve"> avsnitt 8.</w:t>
      </w:r>
    </w:p>
  </w:footnote>
  <w:footnote w:id="3">
    <w:p w14:paraId="5C5B5F39" w14:textId="6263E13A" w:rsidR="003F14B1" w:rsidRPr="003F14B1" w:rsidRDefault="003F14B1">
      <w:pPr>
        <w:pStyle w:val="Fotnotetekst"/>
        <w:rPr>
          <w:lang w:val="nb-NO"/>
        </w:rPr>
      </w:pPr>
      <w:r>
        <w:rPr>
          <w:rStyle w:val="Fotnotereferanse"/>
        </w:rPr>
        <w:footnoteRef/>
      </w:r>
      <w:r w:rsidRPr="003F14B1">
        <w:rPr>
          <w:lang w:val="nb-NO"/>
        </w:rPr>
        <w:t xml:space="preserve"> </w:t>
      </w:r>
      <w:r w:rsidR="004D58A0">
        <w:rPr>
          <w:lang w:val="nb-NO"/>
        </w:rPr>
        <w:t>E/C.12/GC/22 a</w:t>
      </w:r>
      <w:r>
        <w:rPr>
          <w:lang w:val="nb-NO"/>
        </w:rPr>
        <w:t>vsnitt 1.</w:t>
      </w:r>
    </w:p>
  </w:footnote>
  <w:footnote w:id="4">
    <w:p w14:paraId="2C6EDE40" w14:textId="02501E85" w:rsidR="003F14B1" w:rsidRPr="003F14B1" w:rsidRDefault="003F14B1">
      <w:pPr>
        <w:pStyle w:val="Fotnotetekst"/>
        <w:rPr>
          <w:lang w:val="nb-NO"/>
        </w:rPr>
      </w:pPr>
      <w:r>
        <w:rPr>
          <w:rStyle w:val="Fotnotereferanse"/>
        </w:rPr>
        <w:footnoteRef/>
      </w:r>
      <w:r w:rsidRPr="003F14B1">
        <w:rPr>
          <w:lang w:val="nb-NO"/>
        </w:rPr>
        <w:t xml:space="preserve"> </w:t>
      </w:r>
      <w:r w:rsidR="004D58A0">
        <w:rPr>
          <w:lang w:val="nb-NO"/>
        </w:rPr>
        <w:t>E/C.12/GC/22 a</w:t>
      </w:r>
      <w:r>
        <w:rPr>
          <w:lang w:val="nb-NO"/>
        </w:rPr>
        <w:t>vsnitt 7.</w:t>
      </w:r>
    </w:p>
  </w:footnote>
  <w:footnote w:id="5">
    <w:p w14:paraId="22F05124" w14:textId="77777777" w:rsidR="005A17B7" w:rsidRPr="005A17B7" w:rsidRDefault="005A17B7" w:rsidP="005A17B7">
      <w:pPr>
        <w:pStyle w:val="Fotnotetekst"/>
        <w:rPr>
          <w:lang w:val="nb-NO"/>
        </w:rPr>
      </w:pPr>
      <w:r>
        <w:rPr>
          <w:rStyle w:val="Fotnotereferanse"/>
        </w:rPr>
        <w:footnoteRef/>
      </w:r>
      <w:r w:rsidRPr="005A17B7">
        <w:rPr>
          <w:lang w:val="nb-NO"/>
        </w:rPr>
        <w:t xml:space="preserve"> </w:t>
      </w:r>
      <w:r w:rsidR="00A73D59">
        <w:rPr>
          <w:lang w:val="nb-NO"/>
        </w:rPr>
        <w:t>E/C.12/2000/4</w:t>
      </w:r>
      <w:r w:rsidRPr="005A17B7">
        <w:rPr>
          <w:lang w:val="nb-NO"/>
        </w:rPr>
        <w:t xml:space="preserve"> avsnitt 9, 11 og 17.</w:t>
      </w:r>
    </w:p>
  </w:footnote>
  <w:footnote w:id="6">
    <w:p w14:paraId="786590B7" w14:textId="77777777" w:rsidR="00781B09" w:rsidRPr="003E35D9" w:rsidRDefault="00781B09">
      <w:pPr>
        <w:pStyle w:val="Fotnotetekst"/>
        <w:rPr>
          <w:lang w:val="nb-NO"/>
        </w:rPr>
      </w:pPr>
      <w:r>
        <w:rPr>
          <w:rStyle w:val="Fotnotereferanse"/>
        </w:rPr>
        <w:footnoteRef/>
      </w:r>
      <w:r w:rsidRPr="003E35D9">
        <w:rPr>
          <w:lang w:val="nb-NO"/>
        </w:rPr>
        <w:t xml:space="preserve"> </w:t>
      </w:r>
      <w:r w:rsidR="003E35D9" w:rsidRPr="003E35D9">
        <w:rPr>
          <w:lang w:val="nb-NO"/>
        </w:rPr>
        <w:t xml:space="preserve">Helsedirektoratet, </w:t>
      </w:r>
      <w:r w:rsidR="003E35D9" w:rsidRPr="003E35D9">
        <w:rPr>
          <w:i/>
          <w:lang w:val="nb-NO"/>
        </w:rPr>
        <w:t>Rett til rett kjønn – Helse til alle kjønn</w:t>
      </w:r>
      <w:r w:rsidR="003E35D9">
        <w:rPr>
          <w:lang w:val="nb-NO"/>
        </w:rPr>
        <w:t>, IS-0496, 2015.</w:t>
      </w:r>
    </w:p>
  </w:footnote>
  <w:footnote w:id="7">
    <w:p w14:paraId="6B6DB6FC" w14:textId="77777777" w:rsidR="005A17B7" w:rsidRPr="005A17B7" w:rsidRDefault="005A17B7" w:rsidP="005A17B7">
      <w:pPr>
        <w:pStyle w:val="Fotnotetekst"/>
        <w:rPr>
          <w:lang w:val="nb-NO"/>
        </w:rPr>
      </w:pPr>
      <w:r>
        <w:rPr>
          <w:rStyle w:val="Fotnotereferanse"/>
        </w:rPr>
        <w:footnoteRef/>
      </w:r>
      <w:r w:rsidRPr="005A17B7">
        <w:rPr>
          <w:lang w:val="nb-NO"/>
        </w:rPr>
        <w:t xml:space="preserve"> </w:t>
      </w:r>
      <w:r w:rsidR="00A73D59">
        <w:rPr>
          <w:lang w:val="nb-NO"/>
        </w:rPr>
        <w:t>E/C.12/2000/4</w:t>
      </w:r>
      <w:r w:rsidRPr="005A17B7">
        <w:rPr>
          <w:lang w:val="nb-NO"/>
        </w:rPr>
        <w:t xml:space="preserve"> avsnitt 33.</w:t>
      </w:r>
    </w:p>
  </w:footnote>
  <w:footnote w:id="8">
    <w:p w14:paraId="6B11E126" w14:textId="77777777" w:rsidR="005A17B7" w:rsidRPr="005A17B7" w:rsidRDefault="005A17B7" w:rsidP="005A17B7">
      <w:pPr>
        <w:pStyle w:val="Fotnotetekst"/>
        <w:rPr>
          <w:lang w:val="nb-NO"/>
        </w:rPr>
      </w:pPr>
      <w:r>
        <w:rPr>
          <w:rStyle w:val="Fotnotereferanse"/>
        </w:rPr>
        <w:footnoteRef/>
      </w:r>
      <w:r w:rsidRPr="005A17B7">
        <w:rPr>
          <w:lang w:val="nb-NO"/>
        </w:rPr>
        <w:t xml:space="preserve"> </w:t>
      </w:r>
      <w:r w:rsidR="00A73D59">
        <w:rPr>
          <w:lang w:val="nb-NO"/>
        </w:rPr>
        <w:t>E/C.12/2000/4</w:t>
      </w:r>
      <w:r w:rsidRPr="005A17B7">
        <w:rPr>
          <w:lang w:val="nb-NO"/>
        </w:rPr>
        <w:t xml:space="preserve"> avsnitt 30; </w:t>
      </w:r>
      <w:r w:rsidR="00A73D59">
        <w:rPr>
          <w:lang w:val="nb-NO"/>
        </w:rPr>
        <w:t>E/C.12/GC/20</w:t>
      </w:r>
      <w:r w:rsidRPr="005A17B7">
        <w:rPr>
          <w:lang w:val="nb-NO"/>
        </w:rPr>
        <w:t xml:space="preserve"> avsnitt 32.</w:t>
      </w:r>
    </w:p>
  </w:footnote>
  <w:footnote w:id="9">
    <w:p w14:paraId="27772E22" w14:textId="0A258F5C" w:rsidR="00C729ED" w:rsidRPr="00C729ED" w:rsidRDefault="00C729ED">
      <w:pPr>
        <w:pStyle w:val="Fotnotetekst"/>
        <w:rPr>
          <w:lang w:val="nb-NO"/>
        </w:rPr>
      </w:pPr>
      <w:r>
        <w:rPr>
          <w:rStyle w:val="Fotnotereferanse"/>
        </w:rPr>
        <w:footnoteRef/>
      </w:r>
      <w:r w:rsidRPr="00C729ED">
        <w:rPr>
          <w:lang w:val="nb-NO"/>
        </w:rPr>
        <w:t xml:space="preserve"> </w:t>
      </w:r>
      <w:r w:rsidR="004C687B">
        <w:rPr>
          <w:lang w:val="nb-NO"/>
        </w:rPr>
        <w:t>E/C.12/GC/22 avsnitt 23.</w:t>
      </w:r>
    </w:p>
  </w:footnote>
  <w:footnote w:id="10">
    <w:p w14:paraId="27F75588" w14:textId="77777777" w:rsidR="005A17B7" w:rsidRPr="005A17B7" w:rsidRDefault="005A17B7" w:rsidP="005A17B7">
      <w:pPr>
        <w:pStyle w:val="Fotnotetekst"/>
        <w:rPr>
          <w:lang w:val="nb-NO"/>
        </w:rPr>
      </w:pPr>
      <w:r>
        <w:rPr>
          <w:rStyle w:val="Fotnotereferanse"/>
        </w:rPr>
        <w:footnoteRef/>
      </w:r>
      <w:r w:rsidRPr="005A17B7">
        <w:rPr>
          <w:lang w:val="nb-NO"/>
        </w:rPr>
        <w:t xml:space="preserve"> Kim Alexander Tønseth et al., ‘Kjønnskorrigerende Kirurgi ved Transseksualisme’ (2010) 130 Tidsskrift for den norske legeforening, s. 376.</w:t>
      </w:r>
    </w:p>
  </w:footnote>
  <w:footnote w:id="11">
    <w:p w14:paraId="56991D71" w14:textId="77777777" w:rsidR="005A17B7" w:rsidRPr="00FB1A73" w:rsidRDefault="005A17B7" w:rsidP="005A17B7">
      <w:pPr>
        <w:pStyle w:val="Fotnotetekst"/>
        <w:rPr>
          <w:lang w:val="nb-NO"/>
        </w:rPr>
      </w:pPr>
      <w:r>
        <w:rPr>
          <w:rStyle w:val="Fotnotereferanse"/>
        </w:rPr>
        <w:footnoteRef/>
      </w:r>
      <w:r w:rsidRPr="005A17B7">
        <w:rPr>
          <w:lang w:val="nb-NO"/>
        </w:rPr>
        <w:t xml:space="preserve"> </w:t>
      </w:r>
      <w:proofErr w:type="spellStart"/>
      <w:r w:rsidRPr="005A17B7">
        <w:rPr>
          <w:lang w:val="nb-NO"/>
        </w:rPr>
        <w:t>Bufdir</w:t>
      </w:r>
      <w:proofErr w:type="spellEnd"/>
      <w:r w:rsidRPr="005A17B7">
        <w:rPr>
          <w:lang w:val="nb-NO"/>
        </w:rPr>
        <w:t xml:space="preserve"> definerer begrepet «transperson» som «et paraplybegrep for personer som har et utseende eller identitet som uttrykker et annet kjønn enn det som ble registrert for dem ved fødsel.» </w:t>
      </w:r>
      <w:r w:rsidRPr="00FB1A73">
        <w:rPr>
          <w:lang w:val="nb-NO"/>
        </w:rPr>
        <w:t xml:space="preserve">Hentet fra: </w:t>
      </w:r>
      <w:r w:rsidR="0076455B">
        <w:fldChar w:fldCharType="begin"/>
      </w:r>
      <w:r w:rsidR="0076455B" w:rsidRPr="0076455B">
        <w:rPr>
          <w:lang w:val="nb-NO"/>
        </w:rPr>
        <w:instrText xml:space="preserve"> HYPERLINK "https://www.bufdir.no/lhbt/LHBT_ordlista/" \l "h</w:instrText>
      </w:r>
      <w:r w:rsidR="0076455B" w:rsidRPr="0076455B">
        <w:rPr>
          <w:lang w:val="nb-NO"/>
        </w:rPr>
        <w:instrText xml:space="preserve">eading11863" </w:instrText>
      </w:r>
      <w:r w:rsidR="0076455B">
        <w:fldChar w:fldCharType="separate"/>
      </w:r>
      <w:r w:rsidRPr="00FB1A73">
        <w:rPr>
          <w:rStyle w:val="Hyperkobling"/>
          <w:lang w:val="nb-NO"/>
        </w:rPr>
        <w:t>https://www.bufdir.no/lhbt/LHBT_ordlista/#heading11863</w:t>
      </w:r>
      <w:r w:rsidR="0076455B">
        <w:rPr>
          <w:rStyle w:val="Hyperkobling"/>
          <w:lang w:val="nb-NO"/>
        </w:rPr>
        <w:fldChar w:fldCharType="end"/>
      </w:r>
      <w:r w:rsidRPr="00FB1A73">
        <w:rPr>
          <w:lang w:val="nb-NO"/>
        </w:rPr>
        <w:t xml:space="preserve"> </w:t>
      </w:r>
    </w:p>
  </w:footnote>
  <w:footnote w:id="12">
    <w:p w14:paraId="4B0B6C7D" w14:textId="77777777" w:rsidR="005A17B7" w:rsidRPr="00224534" w:rsidRDefault="005A17B7" w:rsidP="005A17B7">
      <w:pPr>
        <w:pStyle w:val="Fotnotetekst"/>
        <w:rPr>
          <w:lang w:val="nb-NO"/>
        </w:rPr>
      </w:pPr>
      <w:r>
        <w:rPr>
          <w:rStyle w:val="Fotnotereferanse"/>
        </w:rPr>
        <w:footnoteRef/>
      </w:r>
      <w:r w:rsidRPr="00224534">
        <w:rPr>
          <w:lang w:val="nb-NO"/>
        </w:rPr>
        <w:t xml:space="preserve"> Se blant annet </w:t>
      </w:r>
      <w:r w:rsidRPr="00224534">
        <w:rPr>
          <w:i/>
          <w:lang w:val="nb-NO"/>
        </w:rPr>
        <w:t xml:space="preserve">Christine Goodwin v. </w:t>
      </w:r>
      <w:r w:rsidR="00224534" w:rsidRPr="00224534">
        <w:rPr>
          <w:i/>
          <w:lang w:val="nb-NO"/>
        </w:rPr>
        <w:t>Storbritannia</w:t>
      </w:r>
      <w:r w:rsidR="00224534" w:rsidRPr="00224534">
        <w:rPr>
          <w:lang w:val="nb-NO"/>
        </w:rPr>
        <w:t xml:space="preserve"> (28957/95)</w:t>
      </w:r>
      <w:r w:rsidRPr="00224534">
        <w:rPr>
          <w:lang w:val="nb-NO"/>
        </w:rPr>
        <w:t xml:space="preserve">; </w:t>
      </w:r>
      <w:r w:rsidRPr="00224534">
        <w:rPr>
          <w:i/>
          <w:lang w:val="nb-NO"/>
        </w:rPr>
        <w:t xml:space="preserve">van </w:t>
      </w:r>
      <w:proofErr w:type="spellStart"/>
      <w:r w:rsidRPr="00224534">
        <w:rPr>
          <w:i/>
          <w:lang w:val="nb-NO"/>
        </w:rPr>
        <w:t>Kück</w:t>
      </w:r>
      <w:proofErr w:type="spellEnd"/>
      <w:r w:rsidRPr="00224534">
        <w:rPr>
          <w:i/>
          <w:lang w:val="nb-NO"/>
        </w:rPr>
        <w:t xml:space="preserve"> v. </w:t>
      </w:r>
      <w:r w:rsidR="00224534" w:rsidRPr="00224534">
        <w:rPr>
          <w:i/>
          <w:lang w:val="nb-NO"/>
        </w:rPr>
        <w:t>Tyskland</w:t>
      </w:r>
      <w:r w:rsidR="00224534" w:rsidRPr="00224534">
        <w:rPr>
          <w:lang w:val="nb-NO"/>
        </w:rPr>
        <w:t xml:space="preserve"> (35968/97)</w:t>
      </w:r>
      <w:r w:rsidRPr="00224534">
        <w:rPr>
          <w:lang w:val="nb-NO"/>
        </w:rPr>
        <w:t xml:space="preserve">; </w:t>
      </w:r>
      <w:r w:rsidR="00224534" w:rsidRPr="00224534">
        <w:rPr>
          <w:i/>
          <w:lang w:val="nb-NO"/>
        </w:rPr>
        <w:t>Y.Y. v. Tyrkia</w:t>
      </w:r>
      <w:r w:rsidR="00224534" w:rsidRPr="00224534">
        <w:rPr>
          <w:lang w:val="nb-NO"/>
        </w:rPr>
        <w:t xml:space="preserve"> (14793/08)</w:t>
      </w:r>
      <w:r w:rsidRPr="00224534">
        <w:rPr>
          <w:lang w:val="nb-NO"/>
        </w:rPr>
        <w:t xml:space="preserve">; </w:t>
      </w:r>
      <w:r w:rsidRPr="00224534">
        <w:rPr>
          <w:i/>
          <w:lang w:val="nb-NO"/>
        </w:rPr>
        <w:t xml:space="preserve">A.P. </w:t>
      </w:r>
      <w:proofErr w:type="spellStart"/>
      <w:r w:rsidRPr="00224534">
        <w:rPr>
          <w:i/>
          <w:lang w:val="nb-NO"/>
        </w:rPr>
        <w:t>Gar</w:t>
      </w:r>
      <w:r w:rsidRPr="00224534">
        <w:rPr>
          <w:rFonts w:cstheme="minorHAnsi"/>
          <w:i/>
          <w:lang w:val="nb-NO"/>
        </w:rPr>
        <w:t>ç</w:t>
      </w:r>
      <w:r w:rsidRPr="00224534">
        <w:rPr>
          <w:i/>
          <w:lang w:val="nb-NO"/>
        </w:rPr>
        <w:t>on</w:t>
      </w:r>
      <w:proofErr w:type="spellEnd"/>
      <w:r w:rsidRPr="00224534">
        <w:rPr>
          <w:i/>
          <w:lang w:val="nb-NO"/>
        </w:rPr>
        <w:t xml:space="preserve"> and </w:t>
      </w:r>
      <w:proofErr w:type="spellStart"/>
      <w:r w:rsidRPr="00224534">
        <w:rPr>
          <w:i/>
          <w:lang w:val="nb-NO"/>
        </w:rPr>
        <w:t>Nicot</w:t>
      </w:r>
      <w:proofErr w:type="spellEnd"/>
      <w:r w:rsidRPr="00224534">
        <w:rPr>
          <w:i/>
          <w:lang w:val="nb-NO"/>
        </w:rPr>
        <w:t xml:space="preserve"> v. </w:t>
      </w:r>
      <w:r w:rsidR="00224534" w:rsidRPr="00224534">
        <w:rPr>
          <w:i/>
          <w:lang w:val="nb-NO"/>
        </w:rPr>
        <w:t>Frankrike</w:t>
      </w:r>
      <w:r w:rsidR="00224534" w:rsidRPr="00224534">
        <w:rPr>
          <w:lang w:val="nb-NO"/>
        </w:rPr>
        <w:t xml:space="preserve"> (79885/12, 52471/13 og 52596/13)</w:t>
      </w:r>
      <w:r w:rsidRPr="00224534">
        <w:rPr>
          <w:lang w:val="nb-NO"/>
        </w:rPr>
        <w:t>.</w:t>
      </w:r>
    </w:p>
  </w:footnote>
  <w:footnote w:id="13">
    <w:p w14:paraId="104DDB98" w14:textId="77777777" w:rsidR="005A17B7" w:rsidRPr="00224534" w:rsidRDefault="005A17B7" w:rsidP="005A17B7">
      <w:pPr>
        <w:pStyle w:val="Fotnotetekst"/>
        <w:rPr>
          <w:lang w:val="nb-NO"/>
        </w:rPr>
      </w:pPr>
      <w:r>
        <w:rPr>
          <w:rStyle w:val="Fotnotereferanse"/>
        </w:rPr>
        <w:footnoteRef/>
      </w:r>
      <w:r w:rsidRPr="00224534">
        <w:rPr>
          <w:lang w:val="nb-NO"/>
        </w:rPr>
        <w:t xml:space="preserve"> </w:t>
      </w:r>
      <w:proofErr w:type="spellStart"/>
      <w:r w:rsidR="00224534" w:rsidRPr="00224534">
        <w:rPr>
          <w:i/>
          <w:lang w:val="nb-NO"/>
        </w:rPr>
        <w:t>Schlumpf</w:t>
      </w:r>
      <w:proofErr w:type="spellEnd"/>
      <w:r w:rsidR="00224534" w:rsidRPr="00224534">
        <w:rPr>
          <w:i/>
          <w:lang w:val="nb-NO"/>
        </w:rPr>
        <w:t xml:space="preserve"> v. Sveits</w:t>
      </w:r>
      <w:r w:rsidR="00224534">
        <w:rPr>
          <w:lang w:val="nb-NO"/>
        </w:rPr>
        <w:t xml:space="preserve"> (29002/06)</w:t>
      </w:r>
      <w:r w:rsidRPr="00224534">
        <w:rPr>
          <w:lang w:val="nb-NO"/>
        </w:rPr>
        <w:t xml:space="preserve">; </w:t>
      </w:r>
      <w:r w:rsidRPr="00224534">
        <w:rPr>
          <w:i/>
          <w:lang w:val="nb-NO"/>
        </w:rPr>
        <w:t xml:space="preserve">van </w:t>
      </w:r>
      <w:proofErr w:type="spellStart"/>
      <w:r w:rsidRPr="00224534">
        <w:rPr>
          <w:i/>
          <w:lang w:val="nb-NO"/>
        </w:rPr>
        <w:t>Kück</w:t>
      </w:r>
      <w:proofErr w:type="spellEnd"/>
      <w:r w:rsidRPr="00224534">
        <w:rPr>
          <w:i/>
          <w:lang w:val="nb-NO"/>
        </w:rPr>
        <w:t xml:space="preserve"> v. </w:t>
      </w:r>
      <w:r w:rsidR="00224534" w:rsidRPr="00224534">
        <w:rPr>
          <w:i/>
          <w:lang w:val="nb-NO"/>
        </w:rPr>
        <w:t>Tyskland</w:t>
      </w:r>
      <w:r w:rsidR="00224534">
        <w:rPr>
          <w:lang w:val="nb-NO"/>
        </w:rPr>
        <w:t xml:space="preserve"> </w:t>
      </w:r>
      <w:r w:rsidR="00224534" w:rsidRPr="00224534">
        <w:rPr>
          <w:lang w:val="nb-NO"/>
        </w:rPr>
        <w:t>(35968/97)</w:t>
      </w:r>
      <w:r w:rsidRPr="00224534">
        <w:rPr>
          <w:lang w:val="nb-NO"/>
        </w:rPr>
        <w:t>.</w:t>
      </w:r>
    </w:p>
  </w:footnote>
  <w:footnote w:id="14">
    <w:p w14:paraId="556862AA" w14:textId="71F71E24" w:rsidR="006311A6" w:rsidRPr="006311A6" w:rsidRDefault="006311A6">
      <w:pPr>
        <w:pStyle w:val="Fotnotetekst"/>
        <w:rPr>
          <w:lang w:val="nb-NO"/>
        </w:rPr>
      </w:pPr>
      <w:r>
        <w:rPr>
          <w:rStyle w:val="Fotnotereferanse"/>
        </w:rPr>
        <w:footnoteRef/>
      </w:r>
      <w:r w:rsidRPr="006311A6">
        <w:rPr>
          <w:lang w:val="nb-NO"/>
        </w:rPr>
        <w:t xml:space="preserve"> </w:t>
      </w:r>
      <w:r w:rsidRPr="00224534">
        <w:rPr>
          <w:i/>
          <w:lang w:val="nb-NO"/>
        </w:rPr>
        <w:t>Y.Y. v. Tyrkia</w:t>
      </w:r>
      <w:r w:rsidRPr="00224534">
        <w:rPr>
          <w:lang w:val="nb-NO"/>
        </w:rPr>
        <w:t xml:space="preserve"> (14793/08)</w:t>
      </w:r>
      <w:r>
        <w:rPr>
          <w:lang w:val="nb-NO"/>
        </w:rPr>
        <w:t>.</w:t>
      </w:r>
    </w:p>
  </w:footnote>
  <w:footnote w:id="15">
    <w:p w14:paraId="327533D7" w14:textId="625335FC" w:rsidR="006311A6" w:rsidRPr="006311A6" w:rsidRDefault="006311A6">
      <w:pPr>
        <w:pStyle w:val="Fotnotetekst"/>
        <w:rPr>
          <w:lang w:val="nb-NO"/>
        </w:rPr>
      </w:pPr>
      <w:r>
        <w:rPr>
          <w:rStyle w:val="Fotnotereferanse"/>
        </w:rPr>
        <w:footnoteRef/>
      </w:r>
      <w:r w:rsidRPr="006311A6">
        <w:rPr>
          <w:lang w:val="nb-NO"/>
        </w:rPr>
        <w:t xml:space="preserve"> </w:t>
      </w:r>
      <w:r w:rsidRPr="00224534">
        <w:rPr>
          <w:i/>
          <w:lang w:val="nb-NO"/>
        </w:rPr>
        <w:t xml:space="preserve">van </w:t>
      </w:r>
      <w:proofErr w:type="spellStart"/>
      <w:r w:rsidRPr="00224534">
        <w:rPr>
          <w:i/>
          <w:lang w:val="nb-NO"/>
        </w:rPr>
        <w:t>Kück</w:t>
      </w:r>
      <w:proofErr w:type="spellEnd"/>
      <w:r w:rsidRPr="00224534">
        <w:rPr>
          <w:i/>
          <w:lang w:val="nb-NO"/>
        </w:rPr>
        <w:t xml:space="preserve"> v. Tyskland</w:t>
      </w:r>
      <w:r w:rsidRPr="00224534">
        <w:rPr>
          <w:lang w:val="nb-NO"/>
        </w:rPr>
        <w:t xml:space="preserve"> (35968/97)</w:t>
      </w:r>
      <w:r>
        <w:rPr>
          <w:lang w:val="nb-NO"/>
        </w:rPr>
        <w:t>.</w:t>
      </w:r>
    </w:p>
  </w:footnote>
  <w:footnote w:id="16">
    <w:p w14:paraId="22560015" w14:textId="7B926ABE" w:rsidR="00130142" w:rsidRPr="00832BC7" w:rsidRDefault="00130142">
      <w:pPr>
        <w:pStyle w:val="Fotnotetekst"/>
        <w:rPr>
          <w:i/>
        </w:rPr>
      </w:pPr>
      <w:r>
        <w:rPr>
          <w:rStyle w:val="Fotnotereferanse"/>
        </w:rPr>
        <w:footnoteRef/>
      </w:r>
      <w:r>
        <w:t xml:space="preserve"> </w:t>
      </w:r>
      <w:r w:rsidR="00832BC7" w:rsidRPr="0076455B">
        <w:rPr>
          <w:i/>
          <w:lang w:val="en-US"/>
        </w:rPr>
        <w:t>Schlumpf v. Sveits</w:t>
      </w:r>
      <w:r w:rsidR="00832BC7" w:rsidRPr="0076455B">
        <w:rPr>
          <w:lang w:val="en-US"/>
        </w:rPr>
        <w:t xml:space="preserve"> (29002/06).</w:t>
      </w:r>
    </w:p>
  </w:footnote>
  <w:footnote w:id="17">
    <w:p w14:paraId="15EE0414" w14:textId="77777777" w:rsidR="005A17B7" w:rsidRPr="00C23729" w:rsidRDefault="005A17B7" w:rsidP="005A17B7">
      <w:pPr>
        <w:pStyle w:val="Fotnotetekst"/>
        <w:rPr>
          <w:lang w:val="en-US"/>
        </w:rPr>
      </w:pPr>
      <w:r>
        <w:rPr>
          <w:rStyle w:val="Fotnotereferanse"/>
        </w:rPr>
        <w:footnoteRef/>
      </w:r>
      <w:r w:rsidRPr="00C23729">
        <w:rPr>
          <w:lang w:val="en-US"/>
        </w:rPr>
        <w:t xml:space="preserve"> </w:t>
      </w:r>
      <w:proofErr w:type="spellStart"/>
      <w:r w:rsidRPr="00C23729">
        <w:rPr>
          <w:i/>
          <w:lang w:val="en-US"/>
        </w:rPr>
        <w:t>Identoba</w:t>
      </w:r>
      <w:proofErr w:type="spellEnd"/>
      <w:r w:rsidRPr="00C23729">
        <w:rPr>
          <w:i/>
          <w:lang w:val="en-US"/>
        </w:rPr>
        <w:t xml:space="preserve"> and Others v. Georgia</w:t>
      </w:r>
      <w:r w:rsidR="005B182F">
        <w:rPr>
          <w:i/>
          <w:lang w:val="en-US"/>
        </w:rPr>
        <w:t xml:space="preserve"> </w:t>
      </w:r>
      <w:r w:rsidR="005B182F" w:rsidRPr="005B182F">
        <w:rPr>
          <w:lang w:val="en-US"/>
        </w:rPr>
        <w:t>(73235/12)</w:t>
      </w:r>
      <w:r w:rsidRPr="00C23729">
        <w:rPr>
          <w:lang w:val="en-US"/>
        </w:rPr>
        <w:t>.</w:t>
      </w:r>
    </w:p>
  </w:footnote>
  <w:footnote w:id="18">
    <w:p w14:paraId="671F2D09" w14:textId="77777777" w:rsidR="005A17B7" w:rsidRPr="005A17B7" w:rsidRDefault="005A17B7" w:rsidP="005A17B7">
      <w:pPr>
        <w:pStyle w:val="Fotnotetekst"/>
        <w:rPr>
          <w:lang w:val="nb-NO"/>
        </w:rPr>
      </w:pPr>
      <w:r>
        <w:rPr>
          <w:rStyle w:val="Fotnotereferanse"/>
        </w:rPr>
        <w:footnoteRef/>
      </w:r>
      <w:r w:rsidRPr="005A17B7">
        <w:rPr>
          <w:lang w:val="nb-NO"/>
        </w:rPr>
        <w:t xml:space="preserve"> Lov om likestilling og forbud mot diskriminering</w:t>
      </w:r>
      <w:r w:rsidR="00712A91">
        <w:rPr>
          <w:lang w:val="nb-NO"/>
        </w:rPr>
        <w:t xml:space="preserve"> </w:t>
      </w:r>
      <w:r w:rsidR="00712A91" w:rsidRPr="005A17B7">
        <w:rPr>
          <w:lang w:val="nb-NO"/>
        </w:rPr>
        <w:t>av 16. juni 2017 nr. 51</w:t>
      </w:r>
      <w:r w:rsidRPr="005A17B7">
        <w:rPr>
          <w:lang w:val="nb-NO"/>
        </w:rPr>
        <w:t xml:space="preserve">. </w:t>
      </w:r>
    </w:p>
  </w:footnote>
  <w:footnote w:id="19">
    <w:p w14:paraId="320F8DD5" w14:textId="77777777" w:rsidR="00310E6F" w:rsidRPr="00310E6F" w:rsidRDefault="00310E6F" w:rsidP="00310E6F">
      <w:pPr>
        <w:pStyle w:val="Fotnotetekst"/>
        <w:rPr>
          <w:lang w:val="nb-NO"/>
        </w:rPr>
      </w:pPr>
      <w:r>
        <w:rPr>
          <w:rStyle w:val="Fotnotereferanse"/>
        </w:rPr>
        <w:footnoteRef/>
      </w:r>
      <w:r w:rsidRPr="00310E6F">
        <w:rPr>
          <w:lang w:val="nb-NO"/>
        </w:rPr>
        <w:t xml:space="preserve"> </w:t>
      </w:r>
      <w:r w:rsidR="002070E0">
        <w:rPr>
          <w:lang w:val="nb-NO"/>
        </w:rPr>
        <w:t>CRC/C/GC/14</w:t>
      </w:r>
      <w:r w:rsidRPr="00310E6F">
        <w:rPr>
          <w:lang w:val="nb-NO"/>
        </w:rPr>
        <w:t xml:space="preserve"> avsnitt 17-19.</w:t>
      </w:r>
    </w:p>
  </w:footnote>
  <w:footnote w:id="20">
    <w:p w14:paraId="19C0FCDF" w14:textId="77777777" w:rsidR="00310E6F" w:rsidRPr="00310E6F" w:rsidRDefault="00310E6F" w:rsidP="00310E6F">
      <w:pPr>
        <w:pStyle w:val="Fotnotetekst"/>
        <w:rPr>
          <w:lang w:val="nb-NO"/>
        </w:rPr>
      </w:pPr>
      <w:r>
        <w:rPr>
          <w:rStyle w:val="Fotnotereferanse"/>
        </w:rPr>
        <w:footnoteRef/>
      </w:r>
      <w:r w:rsidRPr="00310E6F">
        <w:rPr>
          <w:lang w:val="nb-NO"/>
        </w:rPr>
        <w:t xml:space="preserve"> </w:t>
      </w:r>
      <w:r w:rsidR="002070E0">
        <w:rPr>
          <w:lang w:val="nb-NO"/>
        </w:rPr>
        <w:t>CRC/C/GC/14</w:t>
      </w:r>
      <w:r w:rsidRPr="00310E6F">
        <w:rPr>
          <w:lang w:val="nb-NO"/>
        </w:rPr>
        <w:t xml:space="preserve"> avsnitt 32, 48.</w:t>
      </w:r>
    </w:p>
  </w:footnote>
  <w:footnote w:id="21">
    <w:p w14:paraId="1BB1BE59" w14:textId="77777777" w:rsidR="00310E6F" w:rsidRPr="002070E0" w:rsidRDefault="00310E6F" w:rsidP="00310E6F">
      <w:pPr>
        <w:pStyle w:val="Fotnotetekst"/>
        <w:rPr>
          <w:lang w:val="nb-NO"/>
        </w:rPr>
      </w:pPr>
      <w:r>
        <w:rPr>
          <w:rStyle w:val="Fotnotereferanse"/>
        </w:rPr>
        <w:footnoteRef/>
      </w:r>
      <w:r w:rsidRPr="002070E0">
        <w:rPr>
          <w:lang w:val="nb-NO"/>
        </w:rPr>
        <w:t xml:space="preserve"> </w:t>
      </w:r>
      <w:r w:rsidR="002070E0">
        <w:rPr>
          <w:lang w:val="nb-NO"/>
        </w:rPr>
        <w:t>CRC/C/GC/14</w:t>
      </w:r>
      <w:r w:rsidRPr="002070E0">
        <w:rPr>
          <w:lang w:val="nb-NO"/>
        </w:rPr>
        <w:t xml:space="preserve"> avsnitt 82.</w:t>
      </w:r>
    </w:p>
  </w:footnote>
  <w:footnote w:id="22">
    <w:p w14:paraId="0CE00CD0" w14:textId="77777777" w:rsidR="00063F75" w:rsidRPr="002070E0" w:rsidRDefault="00063F75" w:rsidP="00063F75">
      <w:pPr>
        <w:pStyle w:val="Fotnotetekst"/>
        <w:rPr>
          <w:lang w:val="nb-NO"/>
        </w:rPr>
      </w:pPr>
      <w:r>
        <w:rPr>
          <w:rStyle w:val="Fotnotereferanse"/>
        </w:rPr>
        <w:footnoteRef/>
      </w:r>
      <w:r w:rsidRPr="002070E0">
        <w:rPr>
          <w:lang w:val="nb-NO"/>
        </w:rPr>
        <w:t xml:space="preserve"> </w:t>
      </w:r>
      <w:r w:rsidR="002070E0">
        <w:rPr>
          <w:lang w:val="nb-NO"/>
        </w:rPr>
        <w:t>CRC/C/GC/</w:t>
      </w:r>
      <w:r w:rsidRPr="002070E0">
        <w:rPr>
          <w:lang w:val="nb-NO"/>
        </w:rPr>
        <w:t>15 avsnitt 8.</w:t>
      </w:r>
    </w:p>
  </w:footnote>
  <w:footnote w:id="23">
    <w:p w14:paraId="0A584F0C" w14:textId="77777777" w:rsidR="007E7E5E" w:rsidRPr="001B370E" w:rsidRDefault="007E7E5E" w:rsidP="007E7E5E">
      <w:pPr>
        <w:pStyle w:val="Fotnotetekst"/>
        <w:rPr>
          <w:lang w:val="en-US"/>
        </w:rPr>
      </w:pPr>
      <w:r>
        <w:rPr>
          <w:rStyle w:val="Fotnotereferanse"/>
        </w:rPr>
        <w:footnoteRef/>
      </w:r>
      <w:r w:rsidRPr="0072126D">
        <w:rPr>
          <w:lang w:val="en-US"/>
        </w:rPr>
        <w:t xml:space="preserve"> Hodgkin </w:t>
      </w:r>
      <w:r w:rsidRPr="00026974">
        <w:rPr>
          <w:lang w:val="en-US"/>
        </w:rPr>
        <w:t xml:space="preserve">og Newell, </w:t>
      </w:r>
      <w:r w:rsidRPr="00026974">
        <w:rPr>
          <w:i/>
          <w:lang w:val="en-US"/>
        </w:rPr>
        <w:t>Implementation Handbook for the Convention on the Rights</w:t>
      </w:r>
      <w:r>
        <w:rPr>
          <w:i/>
          <w:lang w:val="en-US"/>
        </w:rPr>
        <w:t xml:space="preserve"> of the Child</w:t>
      </w:r>
      <w:r>
        <w:rPr>
          <w:lang w:val="en-US"/>
        </w:rPr>
        <w:t xml:space="preserve"> (UNICEF, 2007), s. 115; Melinda Jones, ‘Adolescent Gender Identity and the Courts’, i Michael Freeman (red.), </w:t>
      </w:r>
      <w:r>
        <w:rPr>
          <w:i/>
          <w:lang w:val="en-US"/>
        </w:rPr>
        <w:t>Children’s Health and Children’s Rights</w:t>
      </w:r>
      <w:r>
        <w:rPr>
          <w:lang w:val="en-US"/>
        </w:rPr>
        <w:t xml:space="preserve"> (</w:t>
      </w:r>
      <w:proofErr w:type="spellStart"/>
      <w:r>
        <w:rPr>
          <w:lang w:val="en-US"/>
        </w:rPr>
        <w:t>Martinus</w:t>
      </w:r>
      <w:proofErr w:type="spellEnd"/>
      <w:r>
        <w:rPr>
          <w:lang w:val="en-US"/>
        </w:rPr>
        <w:t xml:space="preserve"> </w:t>
      </w:r>
      <w:proofErr w:type="spellStart"/>
      <w:r>
        <w:rPr>
          <w:lang w:val="en-US"/>
        </w:rPr>
        <w:t>Nijhoff</w:t>
      </w:r>
      <w:proofErr w:type="spellEnd"/>
      <w:r>
        <w:rPr>
          <w:lang w:val="en-US"/>
        </w:rPr>
        <w:t xml:space="preserve"> Publishers, 2006), s. 129; </w:t>
      </w:r>
      <w:bookmarkStart w:id="1" w:name="_Hlk513570918"/>
      <w:r>
        <w:rPr>
          <w:lang w:val="en-US"/>
        </w:rPr>
        <w:t xml:space="preserve">Kirsten Sandberg, ‘The Rights of LGBTI Children under the Convention on the Rights of the Child’, i Anne </w:t>
      </w:r>
      <w:proofErr w:type="spellStart"/>
      <w:r>
        <w:rPr>
          <w:lang w:val="en-US"/>
        </w:rPr>
        <w:t>Hellum</w:t>
      </w:r>
      <w:proofErr w:type="spellEnd"/>
      <w:r>
        <w:rPr>
          <w:lang w:val="en-US"/>
        </w:rPr>
        <w:t xml:space="preserve"> (red.), </w:t>
      </w:r>
      <w:r w:rsidRPr="001B370E">
        <w:rPr>
          <w:i/>
          <w:lang w:val="en-US"/>
        </w:rPr>
        <w:t>Human Rights, Sexual Orientation, and Gender Identity</w:t>
      </w:r>
      <w:r>
        <w:rPr>
          <w:lang w:val="en-US"/>
        </w:rPr>
        <w:t xml:space="preserve"> (Routledge, 2017), s.</w:t>
      </w:r>
      <w:bookmarkEnd w:id="1"/>
      <w:r>
        <w:rPr>
          <w:lang w:val="en-US"/>
        </w:rPr>
        <w:t xml:space="preserve"> 67.</w:t>
      </w:r>
    </w:p>
  </w:footnote>
  <w:footnote w:id="24">
    <w:p w14:paraId="78DD3DC6" w14:textId="77777777" w:rsidR="00B63A8A" w:rsidRDefault="00BC23F8" w:rsidP="00BC23F8">
      <w:pPr>
        <w:pStyle w:val="Fotnotetekst"/>
        <w:rPr>
          <w:lang w:val="nb-NO"/>
        </w:rPr>
      </w:pPr>
      <w:r>
        <w:rPr>
          <w:rStyle w:val="Fotnotereferanse"/>
        </w:rPr>
        <w:footnoteRef/>
      </w:r>
      <w:r w:rsidRPr="00BC23F8">
        <w:rPr>
          <w:lang w:val="nb-NO"/>
        </w:rPr>
        <w:t xml:space="preserve"> Anders </w:t>
      </w:r>
      <w:proofErr w:type="spellStart"/>
      <w:r w:rsidRPr="00BC23F8">
        <w:rPr>
          <w:lang w:val="nb-NO"/>
        </w:rPr>
        <w:t>Sondrup</w:t>
      </w:r>
      <w:proofErr w:type="spellEnd"/>
      <w:r w:rsidR="00657C60">
        <w:rPr>
          <w:lang w:val="nb-NO"/>
        </w:rPr>
        <w:t xml:space="preserve"> </w:t>
      </w:r>
      <w:proofErr w:type="spellStart"/>
      <w:r w:rsidR="00657C60">
        <w:rPr>
          <w:lang w:val="nb-NO"/>
        </w:rPr>
        <w:t>Skjellerud</w:t>
      </w:r>
      <w:r w:rsidR="007048B1">
        <w:rPr>
          <w:lang w:val="nb-NO"/>
        </w:rPr>
        <w:t>sveen</w:t>
      </w:r>
      <w:proofErr w:type="spellEnd"/>
      <w:r w:rsidRPr="00BC23F8">
        <w:rPr>
          <w:lang w:val="nb-NO"/>
        </w:rPr>
        <w:t xml:space="preserve">, </w:t>
      </w:r>
      <w:r w:rsidR="007048B1">
        <w:rPr>
          <w:i/>
          <w:lang w:val="nb-NO"/>
        </w:rPr>
        <w:t xml:space="preserve">Har barnet en rett til rett kjønn: en vurdering av hvorvidt barnet har krav på pubertetsutsettende og feminiserende eller maskuliniserende hormonbehandling ved </w:t>
      </w:r>
      <w:r w:rsidR="007048B1" w:rsidRPr="007048B1">
        <w:rPr>
          <w:i/>
          <w:lang w:val="nb-NO"/>
        </w:rPr>
        <w:t>kjønnsinkongruens</w:t>
      </w:r>
      <w:r w:rsidR="007048B1">
        <w:rPr>
          <w:lang w:val="nb-NO"/>
        </w:rPr>
        <w:t xml:space="preserve">, </w:t>
      </w:r>
      <w:r w:rsidR="00B63A8A">
        <w:rPr>
          <w:lang w:val="nb-NO"/>
        </w:rPr>
        <w:t>Mastergradsoppgave</w:t>
      </w:r>
      <w:r w:rsidR="007048B1">
        <w:rPr>
          <w:lang w:val="nb-NO"/>
        </w:rPr>
        <w:t>, Juridisk</w:t>
      </w:r>
      <w:r w:rsidR="00B63A8A">
        <w:rPr>
          <w:lang w:val="nb-NO"/>
        </w:rPr>
        <w:t xml:space="preserve"> fakultet, Universitetet i Oslo</w:t>
      </w:r>
      <w:r w:rsidR="007048B1">
        <w:rPr>
          <w:lang w:val="nb-NO"/>
        </w:rPr>
        <w:t xml:space="preserve"> </w:t>
      </w:r>
      <w:r w:rsidR="00B63A8A">
        <w:rPr>
          <w:lang w:val="nb-NO"/>
        </w:rPr>
        <w:t>(</w:t>
      </w:r>
      <w:r w:rsidR="007048B1">
        <w:rPr>
          <w:lang w:val="nb-NO"/>
        </w:rPr>
        <w:t xml:space="preserve">2015), </w:t>
      </w:r>
      <w:r w:rsidRPr="007048B1">
        <w:rPr>
          <w:lang w:val="nb-NO"/>
        </w:rPr>
        <w:t>s</w:t>
      </w:r>
      <w:r w:rsidRPr="00BC23F8">
        <w:rPr>
          <w:lang w:val="nb-NO"/>
        </w:rPr>
        <w:t xml:space="preserve">. 39. </w:t>
      </w:r>
      <w:r w:rsidR="007048B1">
        <w:rPr>
          <w:lang w:val="nb-NO"/>
        </w:rPr>
        <w:t xml:space="preserve">Tilgjengelig her: </w:t>
      </w:r>
      <w:r w:rsidR="0076455B">
        <w:fldChar w:fldCharType="begin"/>
      </w:r>
      <w:r w:rsidR="0076455B" w:rsidRPr="0076455B">
        <w:rPr>
          <w:lang w:val="nb-NO"/>
        </w:rPr>
        <w:instrText xml:space="preserve"> HYPERLINK "http://www.jus.uio.no/ior/forskning/omrader/kvinnerett/publikasjoner/skriftserien/dokumenter/nr-97-anders-sondrup.pdf" </w:instrText>
      </w:r>
      <w:r w:rsidR="0076455B">
        <w:fldChar w:fldCharType="separate"/>
      </w:r>
      <w:r w:rsidR="007048B1" w:rsidRPr="00976DB3">
        <w:rPr>
          <w:rStyle w:val="Hyperkobling"/>
          <w:lang w:val="nb-NO"/>
        </w:rPr>
        <w:t>http://www.jus.uio.no/ior/forskning/omrader/kvinnerett/publikasjoner/skriftserien/dokumenter/nr-97-anders-sondrup.pdf</w:t>
      </w:r>
      <w:r w:rsidR="0076455B">
        <w:rPr>
          <w:rStyle w:val="Hyperkobling"/>
          <w:lang w:val="nb-NO"/>
        </w:rPr>
        <w:fldChar w:fldCharType="end"/>
      </w:r>
      <w:r w:rsidR="007048B1">
        <w:rPr>
          <w:lang w:val="nb-NO"/>
        </w:rPr>
        <w:t xml:space="preserve"> </w:t>
      </w:r>
    </w:p>
    <w:p w14:paraId="5A97BA88" w14:textId="77777777" w:rsidR="00BC23F8" w:rsidRPr="00FB1A73" w:rsidRDefault="00BC23F8" w:rsidP="00BC23F8">
      <w:pPr>
        <w:pStyle w:val="Fotnotetekst"/>
        <w:rPr>
          <w:lang w:val="en-US"/>
        </w:rPr>
      </w:pPr>
      <w:r w:rsidRPr="00BC23F8">
        <w:rPr>
          <w:lang w:val="nb-NO"/>
        </w:rPr>
        <w:t xml:space="preserve">Ifølge professor Kirsten Sandberg kan en slik dynamisk forståelse av retten til identitet ikke utelukkes. Sandberg ser retten til identitet etter artikkel 8 som et argument for at retten til helse under artikkel 24 gir barn en rett til kjønnsbekreftende behandling. </w:t>
      </w:r>
      <w:r w:rsidRPr="00454653">
        <w:rPr>
          <w:lang w:val="en-US"/>
        </w:rPr>
        <w:t xml:space="preserve">Kirsten Sandberg, ‘The Rights of LGBTI Children under the Convention on the Rights of the Child’, i Anne </w:t>
      </w:r>
      <w:proofErr w:type="spellStart"/>
      <w:r w:rsidRPr="00454653">
        <w:rPr>
          <w:lang w:val="en-US"/>
        </w:rPr>
        <w:t>Hellum</w:t>
      </w:r>
      <w:proofErr w:type="spellEnd"/>
      <w:r w:rsidRPr="00454653">
        <w:rPr>
          <w:lang w:val="en-US"/>
        </w:rPr>
        <w:t xml:space="preserve"> (red.), </w:t>
      </w:r>
      <w:r w:rsidRPr="00454653">
        <w:rPr>
          <w:i/>
          <w:lang w:val="en-US"/>
        </w:rPr>
        <w:t>Human Rights, Sexual Orientation, and Gender Identity</w:t>
      </w:r>
      <w:r>
        <w:rPr>
          <w:lang w:val="en-US"/>
        </w:rPr>
        <w:t xml:space="preserve"> (Routledge, 2017), ss. 68-70.</w:t>
      </w:r>
    </w:p>
  </w:footnote>
  <w:footnote w:id="25">
    <w:p w14:paraId="09DBD8F0" w14:textId="77777777" w:rsidR="000A72A5" w:rsidRPr="00C84E37" w:rsidRDefault="000A72A5" w:rsidP="000A72A5">
      <w:pPr>
        <w:pStyle w:val="Fotnotetekst"/>
        <w:rPr>
          <w:lang w:val="en-US"/>
        </w:rPr>
      </w:pPr>
      <w:r>
        <w:rPr>
          <w:rStyle w:val="Fotnotereferanse"/>
        </w:rPr>
        <w:footnoteRef/>
      </w:r>
      <w:r w:rsidRPr="00C84E37">
        <w:rPr>
          <w:lang w:val="en-US"/>
        </w:rPr>
        <w:t xml:space="preserve"> Kirsten Sandberg, ‘The Rights of LGBTI Children under the Convention on the Rights of the Child’, i Anne </w:t>
      </w:r>
      <w:proofErr w:type="spellStart"/>
      <w:r w:rsidRPr="00C84E37">
        <w:rPr>
          <w:lang w:val="en-US"/>
        </w:rPr>
        <w:t>Hellum</w:t>
      </w:r>
      <w:proofErr w:type="spellEnd"/>
      <w:r w:rsidRPr="00C84E37">
        <w:rPr>
          <w:lang w:val="en-US"/>
        </w:rPr>
        <w:t xml:space="preserve"> (red.), </w:t>
      </w:r>
      <w:r w:rsidRPr="00C84E37">
        <w:rPr>
          <w:i/>
          <w:lang w:val="en-US"/>
        </w:rPr>
        <w:t>Human Rights, Sexual Orientation, and Gender Identity</w:t>
      </w:r>
      <w:r w:rsidRPr="00C84E37">
        <w:rPr>
          <w:lang w:val="en-US"/>
        </w:rPr>
        <w:t xml:space="preserve"> (Routledge, 2017), s.</w:t>
      </w:r>
      <w:r>
        <w:rPr>
          <w:lang w:val="en-US"/>
        </w:rPr>
        <w:t xml:space="preserve"> 68.</w:t>
      </w:r>
    </w:p>
  </w:footnote>
  <w:footnote w:id="26">
    <w:p w14:paraId="521E2762" w14:textId="77777777" w:rsidR="00CC4C16" w:rsidRPr="00C84E37" w:rsidRDefault="00CC4C16" w:rsidP="00CC4C16">
      <w:pPr>
        <w:pStyle w:val="Fotnotetekst"/>
        <w:rPr>
          <w:lang w:val="en-US"/>
        </w:rPr>
      </w:pPr>
      <w:r>
        <w:rPr>
          <w:rStyle w:val="Fotnotereferanse"/>
        </w:rPr>
        <w:footnoteRef/>
      </w:r>
      <w:r w:rsidRPr="00C84E37">
        <w:rPr>
          <w:lang w:val="en-US"/>
        </w:rPr>
        <w:t xml:space="preserve"> Kirsten Sandberg, ‘The Rights of LGBTI Children under the Convention on the Rights of the Child’, i Anne </w:t>
      </w:r>
      <w:proofErr w:type="spellStart"/>
      <w:r w:rsidRPr="00C84E37">
        <w:rPr>
          <w:lang w:val="en-US"/>
        </w:rPr>
        <w:t>Hellum</w:t>
      </w:r>
      <w:proofErr w:type="spellEnd"/>
      <w:r w:rsidRPr="00C84E37">
        <w:rPr>
          <w:lang w:val="en-US"/>
        </w:rPr>
        <w:t xml:space="preserve"> (red.), </w:t>
      </w:r>
      <w:r w:rsidRPr="00C84E37">
        <w:rPr>
          <w:i/>
          <w:lang w:val="en-US"/>
        </w:rPr>
        <w:t>Human Rights, Sexual Orientation, and Gender Identity</w:t>
      </w:r>
      <w:r w:rsidRPr="00C84E37">
        <w:rPr>
          <w:lang w:val="en-US"/>
        </w:rPr>
        <w:t xml:space="preserve"> (Routledge, 2017), s.</w:t>
      </w:r>
      <w:r>
        <w:rPr>
          <w:lang w:val="en-US"/>
        </w:rPr>
        <w:t xml:space="preserve"> 68.</w:t>
      </w:r>
    </w:p>
  </w:footnote>
  <w:footnote w:id="27">
    <w:p w14:paraId="69D9BD48" w14:textId="77777777" w:rsidR="002D3F0F" w:rsidRPr="00C84E37" w:rsidRDefault="002D3F0F" w:rsidP="002D3F0F">
      <w:pPr>
        <w:pStyle w:val="Fotnotetekst"/>
        <w:rPr>
          <w:lang w:val="en-US"/>
        </w:rPr>
      </w:pPr>
      <w:r>
        <w:rPr>
          <w:rStyle w:val="Fotnotereferanse"/>
        </w:rPr>
        <w:footnoteRef/>
      </w:r>
      <w:r w:rsidRPr="00C84E37">
        <w:rPr>
          <w:lang w:val="en-US"/>
        </w:rPr>
        <w:t xml:space="preserve"> </w:t>
      </w:r>
      <w:r w:rsidRPr="008B27B7">
        <w:rPr>
          <w:lang w:val="en-US"/>
        </w:rPr>
        <w:t xml:space="preserve">Kirsten Sandberg, ‘The Rights of LGBTI Children under the Convention on the Rights of the Child’, i Anne </w:t>
      </w:r>
      <w:proofErr w:type="spellStart"/>
      <w:r w:rsidRPr="008B27B7">
        <w:rPr>
          <w:lang w:val="en-US"/>
        </w:rPr>
        <w:t>Hellum</w:t>
      </w:r>
      <w:proofErr w:type="spellEnd"/>
      <w:r w:rsidRPr="008B27B7">
        <w:rPr>
          <w:lang w:val="en-US"/>
        </w:rPr>
        <w:t xml:space="preserve"> (red.), </w:t>
      </w:r>
      <w:r w:rsidRPr="008B27B7">
        <w:rPr>
          <w:i/>
          <w:lang w:val="en-US"/>
        </w:rPr>
        <w:t>Human Rights, Sexual Orientation, and Gender Identity</w:t>
      </w:r>
      <w:r w:rsidRPr="008B27B7">
        <w:rPr>
          <w:lang w:val="en-US"/>
        </w:rPr>
        <w:t xml:space="preserve"> (Routledge, 2017), s.</w:t>
      </w:r>
      <w:r>
        <w:rPr>
          <w:lang w:val="en-US"/>
        </w:rPr>
        <w:t xml:space="preserve"> 70.</w:t>
      </w:r>
      <w:r w:rsidRPr="00C84E37">
        <w:rPr>
          <w:lang w:val="en-US"/>
        </w:rPr>
        <w:t xml:space="preserve"> </w:t>
      </w:r>
    </w:p>
  </w:footnote>
  <w:footnote w:id="28">
    <w:p w14:paraId="613F5576" w14:textId="77777777" w:rsidR="002D3F0F" w:rsidRPr="002D3F0F" w:rsidRDefault="002D3F0F">
      <w:pPr>
        <w:pStyle w:val="Fotnotetekst"/>
        <w:rPr>
          <w:lang w:val="nb-NO"/>
        </w:rPr>
      </w:pPr>
      <w:r>
        <w:rPr>
          <w:rStyle w:val="Fotnotereferanse"/>
        </w:rPr>
        <w:footnoteRef/>
      </w:r>
      <w:r w:rsidRPr="00FB1A73">
        <w:rPr>
          <w:lang w:val="nb-NO"/>
        </w:rPr>
        <w:t xml:space="preserve"> </w:t>
      </w:r>
      <w:r>
        <w:rPr>
          <w:lang w:val="nb-NO"/>
        </w:rPr>
        <w:t>Se artikkel 2 og 24.</w:t>
      </w:r>
    </w:p>
  </w:footnote>
  <w:footnote w:id="29">
    <w:p w14:paraId="79B5E152" w14:textId="77777777" w:rsidR="00E82C27" w:rsidRPr="002D3F0F" w:rsidRDefault="00E82C27" w:rsidP="00E82C27">
      <w:pPr>
        <w:pStyle w:val="Fotnotetekst"/>
        <w:rPr>
          <w:lang w:val="nb-NO"/>
        </w:rPr>
      </w:pPr>
      <w:r>
        <w:rPr>
          <w:rStyle w:val="Fotnotereferanse"/>
        </w:rPr>
        <w:footnoteRef/>
      </w:r>
      <w:r w:rsidRPr="002D3F0F">
        <w:rPr>
          <w:lang w:val="nb-NO"/>
        </w:rPr>
        <w:t xml:space="preserve">Tilgjengelig her: </w:t>
      </w:r>
      <w:r w:rsidR="0076455B">
        <w:fldChar w:fldCharType="begin"/>
      </w:r>
      <w:r w:rsidR="0076455B" w:rsidRPr="0076455B">
        <w:rPr>
          <w:lang w:val="nb-NO"/>
        </w:rPr>
        <w:instrText xml:space="preserve"> HYPERLINK "http://tbinternet.ohchr.org/Treaties/CRC/Shared%20Do</w:instrText>
      </w:r>
      <w:r w:rsidR="0076455B" w:rsidRPr="0076455B">
        <w:rPr>
          <w:lang w:val="nb-NO"/>
        </w:rPr>
        <w:instrText xml:space="preserve">cuments/NOR/INT_CRC_IFN_NOR_31143_E.pdf" </w:instrText>
      </w:r>
      <w:r w:rsidR="0076455B">
        <w:fldChar w:fldCharType="separate"/>
      </w:r>
      <w:r w:rsidRPr="002D3F0F">
        <w:rPr>
          <w:rStyle w:val="Hyperkobling"/>
          <w:lang w:val="nb-NO"/>
        </w:rPr>
        <w:t>http://tbinternet.ohchr.org/Treaties/CRC/Shared%20Documents/NOR/INT_CRC_IFN_NOR_31143_E.pdf</w:t>
      </w:r>
      <w:r w:rsidR="0076455B">
        <w:rPr>
          <w:rStyle w:val="Hyperkobling"/>
          <w:lang w:val="nb-NO"/>
        </w:rPr>
        <w:fldChar w:fldCharType="end"/>
      </w:r>
      <w:r w:rsidRPr="002D3F0F">
        <w:rPr>
          <w:lang w:val="nb-NO"/>
        </w:rPr>
        <w:t xml:space="preserve"> </w:t>
      </w:r>
    </w:p>
  </w:footnote>
  <w:footnote w:id="30">
    <w:p w14:paraId="06B601BD" w14:textId="77777777" w:rsidR="00547CB9" w:rsidRPr="00547CB9" w:rsidRDefault="00547CB9">
      <w:pPr>
        <w:pStyle w:val="Fotnotetekst"/>
        <w:rPr>
          <w:lang w:val="nb-NO"/>
        </w:rPr>
      </w:pPr>
      <w:r>
        <w:rPr>
          <w:rStyle w:val="Fotnotereferanse"/>
        </w:rPr>
        <w:footnoteRef/>
      </w:r>
      <w:r w:rsidRPr="00547CB9">
        <w:rPr>
          <w:lang w:val="nb-NO"/>
        </w:rPr>
        <w:t xml:space="preserve"> </w:t>
      </w:r>
      <w:r w:rsidRPr="00F151E3">
        <w:rPr>
          <w:lang w:val="nb-NO"/>
        </w:rPr>
        <w:t>Brev fra Helsedirektoratet til Helse- og omsorgsdepartementet, ‘Gjennomgang av behandlingstilbudet til transseksuelle og transpersoner’, 1. oktober 2012, ref. 10/5482.</w:t>
      </w:r>
    </w:p>
  </w:footnote>
  <w:footnote w:id="31">
    <w:p w14:paraId="0F6D5B7F" w14:textId="77777777" w:rsidR="00FE7D7F" w:rsidRPr="00FE7D7F" w:rsidRDefault="00FE7D7F" w:rsidP="00FE7D7F">
      <w:pPr>
        <w:pStyle w:val="Fotnotetekst"/>
        <w:rPr>
          <w:lang w:val="nb-NO"/>
        </w:rPr>
      </w:pPr>
      <w:r>
        <w:rPr>
          <w:rStyle w:val="Fotnotereferanse"/>
        </w:rPr>
        <w:footnoteRef/>
      </w:r>
      <w:r w:rsidRPr="00FE7D7F">
        <w:rPr>
          <w:lang w:val="nb-NO"/>
        </w:rPr>
        <w:t xml:space="preserve"> Helsedirektoratet, ‘Behandlingstilbudet til transseksuelle og transpersoner i Norge’, rapportutkast av 31. oktober 2011.</w:t>
      </w:r>
    </w:p>
  </w:footnote>
  <w:footnote w:id="32">
    <w:p w14:paraId="715BD493" w14:textId="77777777" w:rsidR="00F151E3" w:rsidRPr="00F151E3" w:rsidRDefault="00F151E3" w:rsidP="00F151E3">
      <w:pPr>
        <w:pStyle w:val="Fotnotetekst"/>
        <w:rPr>
          <w:lang w:val="nb-NO"/>
        </w:rPr>
      </w:pPr>
      <w:r>
        <w:rPr>
          <w:rStyle w:val="Fotnotereferanse"/>
        </w:rPr>
        <w:footnoteRef/>
      </w:r>
      <w:r w:rsidRPr="00F151E3">
        <w:rPr>
          <w:lang w:val="nb-NO"/>
        </w:rPr>
        <w:t xml:space="preserve"> Brev fra Helsedirektoratet til Helse- og omsorgsdepartementet, ‘Gjennomgang av behandlingstilbudet til transseksuelle og transpersoner’, 1. oktober 2012, ref. 10/5482.</w:t>
      </w:r>
    </w:p>
  </w:footnote>
  <w:footnote w:id="33">
    <w:p w14:paraId="6AF70981" w14:textId="77777777" w:rsidR="00F151E3" w:rsidRPr="00F151E3" w:rsidRDefault="00F151E3" w:rsidP="00F151E3">
      <w:pPr>
        <w:pStyle w:val="Fotnotetekst"/>
        <w:rPr>
          <w:lang w:val="nb-NO"/>
        </w:rPr>
      </w:pPr>
      <w:r>
        <w:rPr>
          <w:rStyle w:val="Fotnotereferanse"/>
        </w:rPr>
        <w:footnoteRef/>
      </w:r>
      <w:r w:rsidRPr="00F151E3">
        <w:rPr>
          <w:lang w:val="nb-NO"/>
        </w:rPr>
        <w:t xml:space="preserve"> Brev fra Harry Benjamin Ressurssenter til Helse- og omsorgsdepartementet av 28. november 2011; Brev fra Oslo Universitetssykehus til Helsedirektoratet av 30. november 2011; Brev fra Landsforeningen for lesbiske, homofile, bifile og transpersoner til Helse- og omsorgsdepartementet av 5. november 2012  </w:t>
      </w:r>
    </w:p>
  </w:footnote>
  <w:footnote w:id="34">
    <w:p w14:paraId="22348EAE" w14:textId="77777777" w:rsidR="004F58BD" w:rsidRPr="004F58BD" w:rsidRDefault="004F58BD" w:rsidP="004F58BD">
      <w:pPr>
        <w:pStyle w:val="Fotnotetekst"/>
        <w:rPr>
          <w:lang w:val="nb-NO"/>
        </w:rPr>
      </w:pPr>
      <w:r>
        <w:rPr>
          <w:rStyle w:val="Fotnotereferanse"/>
        </w:rPr>
        <w:footnoteRef/>
      </w:r>
      <w:r w:rsidRPr="004F58BD">
        <w:rPr>
          <w:lang w:val="nb-NO"/>
        </w:rPr>
        <w:t xml:space="preserve"> Brev fra Helsedirektoratet til Helse- og omsorgsdepartementet, ‘Gjennomgang av behandlingstilbudet til transseksuelle og transpersoner’, 1. oktober 2012, ref. 10/5482, s. 15.</w:t>
      </w:r>
    </w:p>
  </w:footnote>
  <w:footnote w:id="35">
    <w:p w14:paraId="55526394" w14:textId="77777777" w:rsidR="00F64DD6" w:rsidRPr="00F64DD6" w:rsidRDefault="00F64DD6" w:rsidP="00F64DD6">
      <w:pPr>
        <w:pStyle w:val="Fotnotetekst"/>
        <w:rPr>
          <w:lang w:val="nb-NO"/>
        </w:rPr>
      </w:pPr>
      <w:r>
        <w:rPr>
          <w:rStyle w:val="Fotnotereferanse"/>
        </w:rPr>
        <w:footnoteRef/>
      </w:r>
      <w:r w:rsidRPr="00F64DD6">
        <w:rPr>
          <w:lang w:val="nb-NO"/>
        </w:rPr>
        <w:t xml:space="preserve"> Brev fra Helsedirektoratet til Helse- og omsorgsdepartementet, ‘Gjennomgang av behandlingstilbudet til transseksuelle og transpersoner’, 1. oktober 2012, ref. 10/5482.</w:t>
      </w:r>
    </w:p>
  </w:footnote>
  <w:footnote w:id="36">
    <w:p w14:paraId="54C311B6" w14:textId="77777777" w:rsidR="00D445B4" w:rsidRPr="00D445B4" w:rsidRDefault="00D445B4" w:rsidP="00D445B4">
      <w:pPr>
        <w:pStyle w:val="Fotnotetekst"/>
        <w:rPr>
          <w:lang w:val="nb-NO"/>
        </w:rPr>
      </w:pPr>
      <w:r>
        <w:rPr>
          <w:rStyle w:val="Fotnotereferanse"/>
        </w:rPr>
        <w:footnoteRef/>
      </w:r>
      <w:r w:rsidRPr="00D445B4">
        <w:rPr>
          <w:lang w:val="nb-NO"/>
        </w:rPr>
        <w:t xml:space="preserve"> Høringssvarene er tilgjengelig her: </w:t>
      </w:r>
      <w:r w:rsidR="0076455B">
        <w:fldChar w:fldCharType="begin"/>
      </w:r>
      <w:r w:rsidR="0076455B" w:rsidRPr="0076455B">
        <w:rPr>
          <w:lang w:val="nb-NO"/>
        </w:rPr>
        <w:instrText xml:space="preserve"> HYPERLINK "https://www.regjeringen.no/no/dokumenter/horing-anbefalinger-fra-ekspertgruppe-om-helsetilbudet-ved-kjonnsdysfori/id2423040/?factbox=horingssvar" </w:instrText>
      </w:r>
      <w:r w:rsidR="0076455B">
        <w:fldChar w:fldCharType="separate"/>
      </w:r>
      <w:r w:rsidRPr="00D445B4">
        <w:rPr>
          <w:rStyle w:val="Hyperkobling"/>
          <w:lang w:val="nb-NO"/>
        </w:rPr>
        <w:t>https://www.regjeringen.no/no/dokumenter/horing-anbefalinger-fra-ekspertgruppe-om-helsetilbudet-ved-kjonnsdysfori/id2423040/?factbox=horingssvar</w:t>
      </w:r>
      <w:r w:rsidR="0076455B">
        <w:rPr>
          <w:rStyle w:val="Hyperkobling"/>
          <w:lang w:val="nb-NO"/>
        </w:rPr>
        <w:fldChar w:fldCharType="end"/>
      </w:r>
      <w:r w:rsidRPr="00D445B4">
        <w:rPr>
          <w:lang w:val="nb-NO"/>
        </w:rPr>
        <w:t xml:space="preserve"> </w:t>
      </w:r>
    </w:p>
  </w:footnote>
  <w:footnote w:id="37">
    <w:p w14:paraId="5A8B5100" w14:textId="74E0BF5C" w:rsidR="009E7910" w:rsidRPr="009E7910" w:rsidRDefault="009E7910" w:rsidP="009E7910">
      <w:pPr>
        <w:pStyle w:val="Fotnotetekst"/>
        <w:rPr>
          <w:lang w:val="nb-NO"/>
        </w:rPr>
      </w:pPr>
      <w:r>
        <w:rPr>
          <w:rStyle w:val="Fotnotereferanse"/>
        </w:rPr>
        <w:footnoteRef/>
      </w:r>
      <w:r w:rsidRPr="009E7910">
        <w:rPr>
          <w:lang w:val="nb-NO"/>
        </w:rPr>
        <w:t xml:space="preserve"> </w:t>
      </w:r>
      <w:r w:rsidR="0076455B">
        <w:fldChar w:fldCharType="begin"/>
      </w:r>
      <w:r w:rsidR="0076455B" w:rsidRPr="0076455B">
        <w:rPr>
          <w:lang w:val="nb-NO"/>
        </w:rPr>
        <w:instrText xml:space="preserve"> HYPERLINK "https://oslo-universitetssykehus.no/fag-og-forskning/nasjonale-og-regionale-tjenester/nasjonal-behandlingstjeneste-for-transseksualisme" </w:instrText>
      </w:r>
      <w:r w:rsidR="0076455B">
        <w:fldChar w:fldCharType="separate"/>
      </w:r>
      <w:r w:rsidR="00C55770" w:rsidRPr="00717480">
        <w:rPr>
          <w:rStyle w:val="Hyperkobling"/>
          <w:lang w:val="nb-NO"/>
        </w:rPr>
        <w:t>https://oslo-universitetssykehus.no/fag-og-forskning/nasjonale-og-regionale-tjenester/nasjonal-behandlingstjeneste-for-transseksualisme</w:t>
      </w:r>
      <w:r w:rsidR="0076455B">
        <w:rPr>
          <w:rStyle w:val="Hyperkobling"/>
          <w:lang w:val="nb-NO"/>
        </w:rPr>
        <w:fldChar w:fldCharType="end"/>
      </w:r>
      <w:r w:rsidR="00C55770">
        <w:rPr>
          <w:lang w:val="nb-N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B964" w14:textId="77777777" w:rsidR="00886557" w:rsidRDefault="0076455B" w:rsidP="00F53676">
    <w:pPr>
      <w:pStyle w:val="Topptekst"/>
    </w:pPr>
    <w:r>
      <w:rPr>
        <w:noProof/>
        <w:lang w:eastAsia="en-GB"/>
      </w:rPr>
      <w:pict w14:anchorId="608B3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53pt;height:640.65pt;z-index:-251658240;mso-position-horizontal:center;mso-position-horizontal-relative:margin;mso-position-vertical:center;mso-position-vertical-relative:margin" o:allowincell="f">
          <v:imagedata r:id="rId1" o:title="NIM-brevm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C0DB2" w14:textId="77777777" w:rsidR="009856E2" w:rsidRDefault="00211789" w:rsidP="00F53676">
    <w:pPr>
      <w:pStyle w:val="Topptekst"/>
    </w:pPr>
    <w:r>
      <w:rPr>
        <w:noProof/>
        <w:lang w:val="nb-NO" w:eastAsia="nb-NO"/>
      </w:rPr>
      <w:drawing>
        <wp:anchor distT="0" distB="0" distL="114300" distR="114300" simplePos="0" relativeHeight="251657216" behindDoc="1" locked="1" layoutInCell="1" allowOverlap="1" wp14:anchorId="73709FCE" wp14:editId="42AF8C02">
          <wp:simplePos x="0" y="0"/>
          <wp:positionH relativeFrom="page">
            <wp:posOffset>-11430</wp:posOffset>
          </wp:positionH>
          <wp:positionV relativeFrom="page">
            <wp:posOffset>635</wp:posOffset>
          </wp:positionV>
          <wp:extent cx="7559675" cy="10691495"/>
          <wp:effectExtent l="0" t="0" r="952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M-brevmal.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AAA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182A91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046D8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1766A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A2430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E6C1F8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BC828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14DAF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D86220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E866A6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EE0E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457B8C"/>
    <w:multiLevelType w:val="multilevel"/>
    <w:tmpl w:val="16C00D4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EA66E8"/>
    <w:multiLevelType w:val="hybridMultilevel"/>
    <w:tmpl w:val="F5B85A70"/>
    <w:lvl w:ilvl="0" w:tplc="D38E86F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5BB3EC9"/>
    <w:multiLevelType w:val="multilevel"/>
    <w:tmpl w:val="29005F12"/>
    <w:lvl w:ilvl="0">
      <w:start w:val="1"/>
      <w:numFmt w:val="decimal"/>
      <w:lvlText w:val="%1"/>
      <w:lvlJc w:val="left"/>
      <w:pPr>
        <w:ind w:left="792" w:hanging="432"/>
      </w:pPr>
      <w:rPr>
        <w:rFonts w:hint="default"/>
      </w:rPr>
    </w:lvl>
    <w:lvl w:ilvl="1">
      <w:start w:val="1"/>
      <w:numFmt w:val="decimal"/>
      <w:lvlText w:val="%1.%2"/>
      <w:lvlJc w:val="left"/>
      <w:pPr>
        <w:ind w:left="0" w:firstLine="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4" w15:restartNumberingAfterBreak="0">
    <w:nsid w:val="377C5826"/>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C42E36"/>
    <w:multiLevelType w:val="hybridMultilevel"/>
    <w:tmpl w:val="218EAEE6"/>
    <w:lvl w:ilvl="0" w:tplc="544A04E0">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655625F"/>
    <w:multiLevelType w:val="hybridMultilevel"/>
    <w:tmpl w:val="8EC0058E"/>
    <w:lvl w:ilvl="0" w:tplc="6E9A9898">
      <w:start w:val="1"/>
      <w:numFmt w:val="lowerRoman"/>
      <w:pStyle w:val="Listeavsnitt"/>
      <w:lvlText w:val="(%1)"/>
      <w:lvlJc w:val="left"/>
      <w:pPr>
        <w:ind w:left="1080" w:hanging="720"/>
      </w:pPr>
      <w:rPr>
        <w:rFonts w:hint="default"/>
        <w:lang w:val="nb-N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A167E93"/>
    <w:multiLevelType w:val="hybridMultilevel"/>
    <w:tmpl w:val="260626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F9B0636"/>
    <w:multiLevelType w:val="multilevel"/>
    <w:tmpl w:val="E396B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8583CA5"/>
    <w:multiLevelType w:val="multilevel"/>
    <w:tmpl w:val="38D0E40A"/>
    <w:lvl w:ilvl="0">
      <w:start w:val="1"/>
      <w:numFmt w:val="decimal"/>
      <w:pStyle w:val="Alternativoverskrift"/>
      <w:lvlText w:val="%1."/>
      <w:lvlJc w:val="left"/>
      <w:pPr>
        <w:ind w:left="360" w:hanging="360"/>
      </w:pPr>
      <w:rPr>
        <w:rFonts w:hint="default"/>
      </w:rPr>
    </w:lvl>
    <w:lvl w:ilvl="1">
      <w:start w:val="1"/>
      <w:numFmt w:val="decimal"/>
      <w:pStyle w:val="NIMunderoverskrift1"/>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8"/>
  </w:num>
  <w:num w:numId="3">
    <w:abstractNumId w:val="14"/>
  </w:num>
  <w:num w:numId="4">
    <w:abstractNumId w:val="17"/>
  </w:num>
  <w:num w:numId="5">
    <w:abstractNumId w:val="15"/>
  </w:num>
  <w:num w:numId="6">
    <w:abstractNumId w:val="19"/>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0"/>
  </w:num>
  <w:num w:numId="11">
    <w:abstractNumId w:val="1"/>
  </w:num>
  <w:num w:numId="12">
    <w:abstractNumId w:val="2"/>
  </w:num>
  <w:num w:numId="13">
    <w:abstractNumId w:val="3"/>
  </w:num>
  <w:num w:numId="14">
    <w:abstractNumId w:val="4"/>
  </w:num>
  <w:num w:numId="15">
    <w:abstractNumId w:val="9"/>
  </w:num>
  <w:num w:numId="16">
    <w:abstractNumId w:val="5"/>
  </w:num>
  <w:num w:numId="17">
    <w:abstractNumId w:val="6"/>
  </w:num>
  <w:num w:numId="18">
    <w:abstractNumId w:val="7"/>
  </w:num>
  <w:num w:numId="19">
    <w:abstractNumId w:val="8"/>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9B"/>
    <w:rsid w:val="00025EF1"/>
    <w:rsid w:val="00045224"/>
    <w:rsid w:val="00054C40"/>
    <w:rsid w:val="00055D9B"/>
    <w:rsid w:val="000570A3"/>
    <w:rsid w:val="00063F75"/>
    <w:rsid w:val="000653F7"/>
    <w:rsid w:val="0007375B"/>
    <w:rsid w:val="00081BE9"/>
    <w:rsid w:val="00096082"/>
    <w:rsid w:val="000965E9"/>
    <w:rsid w:val="000A1438"/>
    <w:rsid w:val="000A4A2B"/>
    <w:rsid w:val="000A72A5"/>
    <w:rsid w:val="000B031E"/>
    <w:rsid w:val="000B0C46"/>
    <w:rsid w:val="000D70A4"/>
    <w:rsid w:val="000E01EE"/>
    <w:rsid w:val="000E189D"/>
    <w:rsid w:val="000E68B5"/>
    <w:rsid w:val="001116CA"/>
    <w:rsid w:val="00117233"/>
    <w:rsid w:val="001210E2"/>
    <w:rsid w:val="00130142"/>
    <w:rsid w:val="001301B2"/>
    <w:rsid w:val="0013329F"/>
    <w:rsid w:val="001414FD"/>
    <w:rsid w:val="00152E3A"/>
    <w:rsid w:val="00157566"/>
    <w:rsid w:val="00166EC2"/>
    <w:rsid w:val="00172C41"/>
    <w:rsid w:val="00197337"/>
    <w:rsid w:val="001B6E74"/>
    <w:rsid w:val="001C1484"/>
    <w:rsid w:val="001E18CB"/>
    <w:rsid w:val="001E5BA2"/>
    <w:rsid w:val="002070E0"/>
    <w:rsid w:val="00211789"/>
    <w:rsid w:val="0021739E"/>
    <w:rsid w:val="0022201D"/>
    <w:rsid w:val="00224534"/>
    <w:rsid w:val="00231BD7"/>
    <w:rsid w:val="002324AD"/>
    <w:rsid w:val="00242C92"/>
    <w:rsid w:val="00243E70"/>
    <w:rsid w:val="00253AC7"/>
    <w:rsid w:val="00262378"/>
    <w:rsid w:val="0029093B"/>
    <w:rsid w:val="002C6171"/>
    <w:rsid w:val="002D3F0F"/>
    <w:rsid w:val="002E05F5"/>
    <w:rsid w:val="002F3ED5"/>
    <w:rsid w:val="002F60C4"/>
    <w:rsid w:val="00310E6F"/>
    <w:rsid w:val="00316421"/>
    <w:rsid w:val="003231D2"/>
    <w:rsid w:val="003272E4"/>
    <w:rsid w:val="00327B18"/>
    <w:rsid w:val="00350BF2"/>
    <w:rsid w:val="00354C65"/>
    <w:rsid w:val="00373A3C"/>
    <w:rsid w:val="00377238"/>
    <w:rsid w:val="00377645"/>
    <w:rsid w:val="00380CB2"/>
    <w:rsid w:val="00390135"/>
    <w:rsid w:val="00390AA2"/>
    <w:rsid w:val="003C6784"/>
    <w:rsid w:val="003C71E6"/>
    <w:rsid w:val="003C72F9"/>
    <w:rsid w:val="003E2BF6"/>
    <w:rsid w:val="003E2F17"/>
    <w:rsid w:val="003E35D9"/>
    <w:rsid w:val="003F14B1"/>
    <w:rsid w:val="003F14E9"/>
    <w:rsid w:val="003F519C"/>
    <w:rsid w:val="003F5929"/>
    <w:rsid w:val="00404A39"/>
    <w:rsid w:val="00412DE2"/>
    <w:rsid w:val="00417656"/>
    <w:rsid w:val="00423011"/>
    <w:rsid w:val="0043550D"/>
    <w:rsid w:val="0044015B"/>
    <w:rsid w:val="004416C3"/>
    <w:rsid w:val="00445FC6"/>
    <w:rsid w:val="0049592D"/>
    <w:rsid w:val="00497F9C"/>
    <w:rsid w:val="004A67C3"/>
    <w:rsid w:val="004B508E"/>
    <w:rsid w:val="004C4138"/>
    <w:rsid w:val="004C687B"/>
    <w:rsid w:val="004D579D"/>
    <w:rsid w:val="004D58A0"/>
    <w:rsid w:val="004D64D4"/>
    <w:rsid w:val="004E6187"/>
    <w:rsid w:val="004E6DC0"/>
    <w:rsid w:val="004F18DE"/>
    <w:rsid w:val="004F19C6"/>
    <w:rsid w:val="004F1D0C"/>
    <w:rsid w:val="004F58BD"/>
    <w:rsid w:val="0051212B"/>
    <w:rsid w:val="005255D2"/>
    <w:rsid w:val="00526994"/>
    <w:rsid w:val="00540E1C"/>
    <w:rsid w:val="005422A1"/>
    <w:rsid w:val="00547CB9"/>
    <w:rsid w:val="00576507"/>
    <w:rsid w:val="005803C8"/>
    <w:rsid w:val="00583194"/>
    <w:rsid w:val="0059167A"/>
    <w:rsid w:val="0059212A"/>
    <w:rsid w:val="00594785"/>
    <w:rsid w:val="00597999"/>
    <w:rsid w:val="005A17B7"/>
    <w:rsid w:val="005B182F"/>
    <w:rsid w:val="005B5A32"/>
    <w:rsid w:val="005B73A2"/>
    <w:rsid w:val="005D3E9C"/>
    <w:rsid w:val="005D4D6C"/>
    <w:rsid w:val="005D6279"/>
    <w:rsid w:val="005D6F12"/>
    <w:rsid w:val="005D7F25"/>
    <w:rsid w:val="005F7740"/>
    <w:rsid w:val="00612DC5"/>
    <w:rsid w:val="006311A6"/>
    <w:rsid w:val="00633E59"/>
    <w:rsid w:val="00641704"/>
    <w:rsid w:val="00643937"/>
    <w:rsid w:val="00650241"/>
    <w:rsid w:val="00655D6F"/>
    <w:rsid w:val="00657C60"/>
    <w:rsid w:val="00674434"/>
    <w:rsid w:val="00674D02"/>
    <w:rsid w:val="00695075"/>
    <w:rsid w:val="006B27A7"/>
    <w:rsid w:val="006C1C89"/>
    <w:rsid w:val="006C4DB7"/>
    <w:rsid w:val="006C6AA2"/>
    <w:rsid w:val="006D1E77"/>
    <w:rsid w:val="006E6923"/>
    <w:rsid w:val="007028A7"/>
    <w:rsid w:val="007048B1"/>
    <w:rsid w:val="00706B69"/>
    <w:rsid w:val="00712A91"/>
    <w:rsid w:val="00712D01"/>
    <w:rsid w:val="00717480"/>
    <w:rsid w:val="00734383"/>
    <w:rsid w:val="00743668"/>
    <w:rsid w:val="00752579"/>
    <w:rsid w:val="00761B05"/>
    <w:rsid w:val="0076455B"/>
    <w:rsid w:val="00765F2E"/>
    <w:rsid w:val="00775C33"/>
    <w:rsid w:val="00775EFA"/>
    <w:rsid w:val="00781B09"/>
    <w:rsid w:val="0078531E"/>
    <w:rsid w:val="00791B7E"/>
    <w:rsid w:val="007B6B7B"/>
    <w:rsid w:val="007C3873"/>
    <w:rsid w:val="007C4CF7"/>
    <w:rsid w:val="007C66B0"/>
    <w:rsid w:val="007E640F"/>
    <w:rsid w:val="007E7E5E"/>
    <w:rsid w:val="007F2229"/>
    <w:rsid w:val="007F3997"/>
    <w:rsid w:val="007F5D94"/>
    <w:rsid w:val="00802E52"/>
    <w:rsid w:val="008032B2"/>
    <w:rsid w:val="00810662"/>
    <w:rsid w:val="00814E93"/>
    <w:rsid w:val="00832BC7"/>
    <w:rsid w:val="00836BB5"/>
    <w:rsid w:val="00841B5B"/>
    <w:rsid w:val="0084265F"/>
    <w:rsid w:val="00843D40"/>
    <w:rsid w:val="008515B4"/>
    <w:rsid w:val="0086235B"/>
    <w:rsid w:val="00863975"/>
    <w:rsid w:val="00866722"/>
    <w:rsid w:val="00872C3E"/>
    <w:rsid w:val="008746C6"/>
    <w:rsid w:val="00875D2C"/>
    <w:rsid w:val="00877613"/>
    <w:rsid w:val="00886557"/>
    <w:rsid w:val="008908B5"/>
    <w:rsid w:val="008958E0"/>
    <w:rsid w:val="008A3B12"/>
    <w:rsid w:val="008B0553"/>
    <w:rsid w:val="008B1239"/>
    <w:rsid w:val="008C2539"/>
    <w:rsid w:val="008D5943"/>
    <w:rsid w:val="008E4ED8"/>
    <w:rsid w:val="008F10A7"/>
    <w:rsid w:val="008F41AF"/>
    <w:rsid w:val="008F48D5"/>
    <w:rsid w:val="008F6F78"/>
    <w:rsid w:val="00906459"/>
    <w:rsid w:val="00953901"/>
    <w:rsid w:val="00953C7C"/>
    <w:rsid w:val="009552E6"/>
    <w:rsid w:val="00976E0B"/>
    <w:rsid w:val="009772AA"/>
    <w:rsid w:val="00977E53"/>
    <w:rsid w:val="009856E2"/>
    <w:rsid w:val="009921A2"/>
    <w:rsid w:val="009A3F79"/>
    <w:rsid w:val="009A6303"/>
    <w:rsid w:val="009B07C1"/>
    <w:rsid w:val="009C108F"/>
    <w:rsid w:val="009C262D"/>
    <w:rsid w:val="009C3395"/>
    <w:rsid w:val="009C62DA"/>
    <w:rsid w:val="009D2BBB"/>
    <w:rsid w:val="009D3B6A"/>
    <w:rsid w:val="009E2EDF"/>
    <w:rsid w:val="009E7910"/>
    <w:rsid w:val="009F1C6C"/>
    <w:rsid w:val="00A01C23"/>
    <w:rsid w:val="00A110D3"/>
    <w:rsid w:val="00A13251"/>
    <w:rsid w:val="00A14BE6"/>
    <w:rsid w:val="00A172AD"/>
    <w:rsid w:val="00A229B6"/>
    <w:rsid w:val="00A273AB"/>
    <w:rsid w:val="00A40171"/>
    <w:rsid w:val="00A60E81"/>
    <w:rsid w:val="00A6205D"/>
    <w:rsid w:val="00A70936"/>
    <w:rsid w:val="00A71D9D"/>
    <w:rsid w:val="00A73D59"/>
    <w:rsid w:val="00A976FC"/>
    <w:rsid w:val="00AA1061"/>
    <w:rsid w:val="00AA5D7E"/>
    <w:rsid w:val="00AC1A8E"/>
    <w:rsid w:val="00AC4568"/>
    <w:rsid w:val="00AE69F2"/>
    <w:rsid w:val="00AF0263"/>
    <w:rsid w:val="00B0126B"/>
    <w:rsid w:val="00B13392"/>
    <w:rsid w:val="00B23077"/>
    <w:rsid w:val="00B31EAA"/>
    <w:rsid w:val="00B320A4"/>
    <w:rsid w:val="00B334F3"/>
    <w:rsid w:val="00B5140B"/>
    <w:rsid w:val="00B54373"/>
    <w:rsid w:val="00B57C8C"/>
    <w:rsid w:val="00B60C72"/>
    <w:rsid w:val="00B63A8A"/>
    <w:rsid w:val="00B726E6"/>
    <w:rsid w:val="00B7781E"/>
    <w:rsid w:val="00B83D43"/>
    <w:rsid w:val="00B9165C"/>
    <w:rsid w:val="00B91695"/>
    <w:rsid w:val="00BA25F8"/>
    <w:rsid w:val="00BA3744"/>
    <w:rsid w:val="00BA486E"/>
    <w:rsid w:val="00BC23F8"/>
    <w:rsid w:val="00BD3353"/>
    <w:rsid w:val="00BE4014"/>
    <w:rsid w:val="00BF506B"/>
    <w:rsid w:val="00C10EF4"/>
    <w:rsid w:val="00C224B5"/>
    <w:rsid w:val="00C37C2F"/>
    <w:rsid w:val="00C4179A"/>
    <w:rsid w:val="00C46CD9"/>
    <w:rsid w:val="00C55770"/>
    <w:rsid w:val="00C729ED"/>
    <w:rsid w:val="00C74890"/>
    <w:rsid w:val="00C802C1"/>
    <w:rsid w:val="00C95293"/>
    <w:rsid w:val="00CA2B71"/>
    <w:rsid w:val="00CA2C60"/>
    <w:rsid w:val="00CB4285"/>
    <w:rsid w:val="00CB5264"/>
    <w:rsid w:val="00CC2DFE"/>
    <w:rsid w:val="00CC4C16"/>
    <w:rsid w:val="00CD0586"/>
    <w:rsid w:val="00CE44EC"/>
    <w:rsid w:val="00D07206"/>
    <w:rsid w:val="00D10C37"/>
    <w:rsid w:val="00D164A9"/>
    <w:rsid w:val="00D218CF"/>
    <w:rsid w:val="00D246CD"/>
    <w:rsid w:val="00D370C3"/>
    <w:rsid w:val="00D445B4"/>
    <w:rsid w:val="00D52AC4"/>
    <w:rsid w:val="00D538EB"/>
    <w:rsid w:val="00D57917"/>
    <w:rsid w:val="00D6210E"/>
    <w:rsid w:val="00D64B2C"/>
    <w:rsid w:val="00D71700"/>
    <w:rsid w:val="00D7711B"/>
    <w:rsid w:val="00DB5691"/>
    <w:rsid w:val="00DD7FCF"/>
    <w:rsid w:val="00DF28B4"/>
    <w:rsid w:val="00E0154E"/>
    <w:rsid w:val="00E01DB2"/>
    <w:rsid w:val="00E04066"/>
    <w:rsid w:val="00E04FA7"/>
    <w:rsid w:val="00E07037"/>
    <w:rsid w:val="00E25885"/>
    <w:rsid w:val="00E62422"/>
    <w:rsid w:val="00E8036F"/>
    <w:rsid w:val="00E82ABC"/>
    <w:rsid w:val="00E82C27"/>
    <w:rsid w:val="00EA610B"/>
    <w:rsid w:val="00EB5A8A"/>
    <w:rsid w:val="00EC29C4"/>
    <w:rsid w:val="00ED777D"/>
    <w:rsid w:val="00F125FC"/>
    <w:rsid w:val="00F151E3"/>
    <w:rsid w:val="00F21AB0"/>
    <w:rsid w:val="00F259E0"/>
    <w:rsid w:val="00F25E05"/>
    <w:rsid w:val="00F50F05"/>
    <w:rsid w:val="00F53676"/>
    <w:rsid w:val="00F64DD6"/>
    <w:rsid w:val="00F65307"/>
    <w:rsid w:val="00F7015A"/>
    <w:rsid w:val="00F9354F"/>
    <w:rsid w:val="00F93C49"/>
    <w:rsid w:val="00F97C5A"/>
    <w:rsid w:val="00FB113A"/>
    <w:rsid w:val="00FB1A73"/>
    <w:rsid w:val="00FB5561"/>
    <w:rsid w:val="00FC5BED"/>
    <w:rsid w:val="00FC7223"/>
    <w:rsid w:val="00FE4DC5"/>
    <w:rsid w:val="00FE7D7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B0D0F57"/>
  <w14:defaultImageDpi w14:val="300"/>
  <w15:chartTrackingRefBased/>
  <w15:docId w15:val="{C1777FEE-4EE4-4D33-89ED-35158531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2378"/>
    <w:pPr>
      <w:spacing w:after="120" w:line="276" w:lineRule="auto"/>
      <w:jc w:val="both"/>
    </w:pPr>
    <w:rPr>
      <w:rFonts w:ascii="Calibri" w:hAnsi="Calibri"/>
      <w:color w:val="151643" w:themeColor="text1"/>
      <w:sz w:val="22"/>
      <w:lang w:val="en-GB"/>
    </w:rPr>
  </w:style>
  <w:style w:type="paragraph" w:styleId="Overskrift1">
    <w:name w:val="heading 1"/>
    <w:aliases w:val="NIM Overskrift 1"/>
    <w:basedOn w:val="Alternativoverskrift"/>
    <w:next w:val="Normal"/>
    <w:link w:val="Overskrift1Tegn"/>
    <w:uiPriority w:val="9"/>
    <w:qFormat/>
    <w:rsid w:val="00CD0586"/>
    <w:pPr>
      <w:contextualSpacing/>
    </w:pPr>
  </w:style>
  <w:style w:type="paragraph" w:styleId="Overskrift2">
    <w:name w:val="heading 2"/>
    <w:aliases w:val="NIM Underoverskrift 1"/>
    <w:basedOn w:val="NIMunderoverskrift1"/>
    <w:next w:val="Normal"/>
    <w:link w:val="Overskrift2Tegn"/>
    <w:uiPriority w:val="9"/>
    <w:unhideWhenUsed/>
    <w:qFormat/>
    <w:rsid w:val="00597999"/>
    <w:pPr>
      <w:spacing w:before="240"/>
      <w:outlineLvl w:val="1"/>
    </w:pPr>
  </w:style>
  <w:style w:type="paragraph" w:styleId="Overskrift3">
    <w:name w:val="heading 3"/>
    <w:basedOn w:val="Normal"/>
    <w:next w:val="Normal"/>
    <w:link w:val="Overskrift3Tegn"/>
    <w:uiPriority w:val="9"/>
    <w:unhideWhenUsed/>
    <w:rsid w:val="004D579D"/>
    <w:pPr>
      <w:keepNext/>
      <w:keepLines/>
      <w:spacing w:after="60"/>
      <w:outlineLvl w:val="2"/>
    </w:pPr>
    <w:rPr>
      <w:rFonts w:asciiTheme="majorHAnsi" w:eastAsiaTheme="majorEastAsia" w:hAnsiTheme="majorHAnsi" w:cstheme="majorBidi"/>
      <w:color w:val="696583" w:themeColor="accent5"/>
    </w:rPr>
  </w:style>
  <w:style w:type="paragraph" w:styleId="Overskrift4">
    <w:name w:val="heading 4"/>
    <w:basedOn w:val="Normal"/>
    <w:next w:val="Normal"/>
    <w:link w:val="Overskrift4Tegn"/>
    <w:uiPriority w:val="9"/>
    <w:unhideWhenUsed/>
    <w:rsid w:val="00A976FC"/>
    <w:pPr>
      <w:keepNext/>
      <w:keepLines/>
      <w:spacing w:after="0"/>
      <w:outlineLvl w:val="3"/>
    </w:pPr>
    <w:rPr>
      <w:rFonts w:asciiTheme="majorHAnsi" w:eastAsiaTheme="majorEastAsia" w:hAnsiTheme="majorHAnsi"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aliases w:val="INNHOLDSFORTEGNELSE"/>
    <w:basedOn w:val="Normal"/>
    <w:next w:val="Normal"/>
    <w:autoRedefine/>
    <w:uiPriority w:val="39"/>
    <w:unhideWhenUsed/>
    <w:rsid w:val="0086235B"/>
    <w:pPr>
      <w:tabs>
        <w:tab w:val="right" w:leader="dot" w:pos="9338"/>
      </w:tabs>
      <w:spacing w:after="100"/>
    </w:pPr>
    <w:rPr>
      <w:rFonts w:eastAsiaTheme="minorEastAsia"/>
      <w:caps/>
      <w:noProof/>
      <w:szCs w:val="22"/>
    </w:rPr>
  </w:style>
  <w:style w:type="table" w:customStyle="1" w:styleId="NIBIOvenstrejustert">
    <w:name w:val="NIBIO venstre justert"/>
    <w:basedOn w:val="Vanligtabell"/>
    <w:uiPriority w:val="99"/>
    <w:rsid w:val="008F6F78"/>
    <w:rPr>
      <w:rFonts w:ascii="Calibri" w:eastAsiaTheme="minorEastAsia" w:hAnsi="Calibri"/>
      <w:color w:val="151643" w:themeColor="text1"/>
      <w:sz w:val="18"/>
      <w:lang w:val="en-GB"/>
    </w:rPr>
    <w:tblPr>
      <w:tblBorders>
        <w:bottom w:val="single" w:sz="4" w:space="0" w:color="E7E6E6" w:themeColor="background2"/>
        <w:insideH w:val="single" w:sz="4" w:space="0" w:color="E7E6E6" w:themeColor="background2"/>
      </w:tblBorders>
    </w:tblPr>
    <w:tcPr>
      <w:shd w:val="clear" w:color="auto" w:fill="FFFFFF" w:themeFill="background1"/>
      <w:tcMar>
        <w:top w:w="6" w:type="dxa"/>
        <w:bottom w:w="6" w:type="dxa"/>
      </w:tcMar>
      <w:vAlign w:val="center"/>
    </w:tcPr>
    <w:tblStylePr w:type="firstRow">
      <w:pPr>
        <w:jc w:val="left"/>
      </w:pPr>
      <w:rPr>
        <w:b/>
      </w:rPr>
      <w:tblPr/>
      <w:tcPr>
        <w:shd w:val="clear" w:color="auto" w:fill="E7E6E6" w:themeFill="background2"/>
      </w:tcPr>
    </w:tblStylePr>
    <w:tblStylePr w:type="firstCol">
      <w:pPr>
        <w:jc w:val="left"/>
      </w:pPr>
      <w:rPr>
        <w:b/>
      </w:rPr>
    </w:tblStylePr>
  </w:style>
  <w:style w:type="table" w:styleId="Rutenettabell1lys">
    <w:name w:val="Grid Table 1 Light"/>
    <w:aliases w:val="GIEK tabell"/>
    <w:basedOn w:val="Vanligtabell"/>
    <w:uiPriority w:val="46"/>
    <w:rsid w:val="00243E70"/>
    <w:rPr>
      <w:rFonts w:asciiTheme="majorHAnsi" w:eastAsia="Times New Roman" w:hAnsiTheme="majorHAnsi" w:cs="Times New Roman"/>
      <w:color w:val="151643" w:themeColor="text1"/>
      <w:sz w:val="20"/>
      <w:szCs w:val="20"/>
      <w:lang w:eastAsia="nb-NO"/>
    </w:rPr>
    <w:tblPr>
      <w:tblStyleRowBandSize w:val="1"/>
      <w:tblStyleColBandSize w:val="1"/>
      <w:tblBorders>
        <w:top w:val="dotted" w:sz="4" w:space="0" w:color="151643" w:themeColor="text1"/>
        <w:left w:val="dotted" w:sz="4" w:space="0" w:color="151643" w:themeColor="text1"/>
        <w:bottom w:val="dotted" w:sz="4" w:space="0" w:color="151643" w:themeColor="text1"/>
        <w:right w:val="dotted" w:sz="4" w:space="0" w:color="151643" w:themeColor="text1"/>
        <w:insideH w:val="dotted" w:sz="4" w:space="0" w:color="151643" w:themeColor="text1"/>
        <w:insideV w:val="dotted" w:sz="4" w:space="0" w:color="151643" w:themeColor="text1"/>
      </w:tblBorders>
    </w:tblPr>
    <w:tcPr>
      <w:shd w:val="clear" w:color="auto" w:fill="auto"/>
      <w:vAlign w:val="center"/>
    </w:tcPr>
    <w:tblStylePr w:type="firstRow">
      <w:pPr>
        <w:wordWrap/>
      </w:pPr>
      <w:rPr>
        <w:rFonts w:asciiTheme="majorHAnsi" w:hAnsiTheme="majorHAnsi"/>
        <w:b/>
        <w:bCs/>
        <w:i w:val="0"/>
        <w:color w:val="FFFFFF" w:themeColor="background1"/>
        <w:sz w:val="20"/>
      </w:rPr>
      <w:tblPr/>
      <w:tcPr>
        <w:shd w:val="clear" w:color="auto" w:fill="151643" w:themeFill="text1"/>
      </w:tcPr>
    </w:tblStylePr>
    <w:tblStylePr w:type="lastRow">
      <w:rPr>
        <w:b/>
        <w:bCs/>
      </w:rPr>
      <w:tblPr/>
      <w:tcPr>
        <w:tcBorders>
          <w:top w:val="double" w:sz="4" w:space="0" w:color="151643" w:themeColor="text1"/>
        </w:tcBorders>
        <w:shd w:val="clear" w:color="auto" w:fill="auto"/>
      </w:tcPr>
    </w:tblStylePr>
    <w:tblStylePr w:type="firstCol">
      <w:rPr>
        <w:b/>
        <w:bCs/>
      </w:rPr>
      <w:tblPr/>
      <w:tcPr>
        <w:shd w:val="clear" w:color="auto" w:fill="BEBFEA" w:themeFill="text1" w:themeFillTint="33"/>
      </w:tcPr>
    </w:tblStylePr>
    <w:tblStylePr w:type="lastCol">
      <w:rPr>
        <w:b/>
        <w:bCs/>
      </w:rPr>
    </w:tblStylePr>
  </w:style>
  <w:style w:type="character" w:customStyle="1" w:styleId="Overskrift2Tegn">
    <w:name w:val="Overskrift 2 Tegn"/>
    <w:aliases w:val="NIM Underoverskrift 1 Tegn"/>
    <w:basedOn w:val="Standardskriftforavsnitt"/>
    <w:link w:val="Overskrift2"/>
    <w:uiPriority w:val="9"/>
    <w:rsid w:val="00597999"/>
    <w:rPr>
      <w:rFonts w:ascii="Calibri" w:hAnsi="Calibri"/>
      <w:i/>
      <w:color w:val="151643" w:themeColor="text1"/>
    </w:rPr>
  </w:style>
  <w:style w:type="table" w:customStyle="1" w:styleId="GIEK">
    <w:name w:val="GIEK"/>
    <w:basedOn w:val="Vanligtabell"/>
    <w:uiPriority w:val="99"/>
    <w:rsid w:val="00E82ABC"/>
    <w:pPr>
      <w:jc w:val="right"/>
    </w:pPr>
    <w:rPr>
      <w:rFonts w:asciiTheme="majorHAnsi" w:eastAsia="Times New Roman" w:hAnsiTheme="majorHAnsi" w:cs="Times New Roman"/>
      <w:color w:val="151643" w:themeColor="text1"/>
      <w:sz w:val="20"/>
      <w:szCs w:val="20"/>
      <w:lang w:eastAsia="nb-NO"/>
    </w:rPr>
    <w:tblPr>
      <w:tblBorders>
        <w:top w:val="dotted" w:sz="4" w:space="0" w:color="151643" w:themeColor="text1"/>
        <w:left w:val="dotted" w:sz="4" w:space="0" w:color="151643" w:themeColor="text1"/>
        <w:bottom w:val="dotted" w:sz="4" w:space="0" w:color="151643" w:themeColor="text1"/>
        <w:right w:val="dotted" w:sz="4" w:space="0" w:color="151643" w:themeColor="text1"/>
        <w:insideH w:val="dotted" w:sz="4" w:space="0" w:color="151643" w:themeColor="text1"/>
        <w:insideV w:val="dotted" w:sz="4" w:space="0" w:color="151643" w:themeColor="text1"/>
      </w:tblBorders>
    </w:tblPr>
    <w:tcPr>
      <w:shd w:val="clear" w:color="auto" w:fill="FFFFFF" w:themeFill="background1"/>
    </w:tcPr>
    <w:tblStylePr w:type="firstRow">
      <w:rPr>
        <w:rFonts w:asciiTheme="majorHAnsi" w:hAnsiTheme="majorHAnsi"/>
        <w:b/>
        <w:bCs/>
        <w:i w:val="0"/>
        <w:color w:val="FFFFFF" w:themeColor="background1"/>
        <w:sz w:val="20"/>
      </w:rPr>
      <w:tblPr/>
      <w:tcPr>
        <w:tcBorders>
          <w:top w:val="nil"/>
          <w:left w:val="nil"/>
          <w:bottom w:val="nil"/>
          <w:right w:val="nil"/>
        </w:tcBorders>
        <w:shd w:val="clear" w:color="auto" w:fill="151643" w:themeFill="text1"/>
      </w:tcPr>
    </w:tblStylePr>
    <w:tblStylePr w:type="lastRow">
      <w:rPr>
        <w:b/>
        <w:bCs/>
        <w:color w:val="151643" w:themeColor="text1"/>
      </w:rPr>
      <w:tblPr/>
      <w:tcPr>
        <w:tcBorders>
          <w:top w:val="dotted" w:sz="4" w:space="0" w:color="151643" w:themeColor="text1"/>
          <w:left w:val="dotted" w:sz="4" w:space="0" w:color="151643" w:themeColor="text1"/>
          <w:bottom w:val="dotted" w:sz="4" w:space="0" w:color="151643" w:themeColor="text1"/>
          <w:right w:val="dotted" w:sz="4" w:space="0" w:color="151643" w:themeColor="text1"/>
        </w:tcBorders>
        <w:shd w:val="clear" w:color="auto" w:fill="FFFFFF" w:themeFill="background1"/>
      </w:tcPr>
    </w:tblStylePr>
    <w:tblStylePr w:type="firstCol">
      <w:pPr>
        <w:wordWrap/>
        <w:jc w:val="left"/>
      </w:pPr>
      <w:rPr>
        <w:rFonts w:asciiTheme="minorHAnsi" w:hAnsiTheme="minorHAnsi"/>
        <w:b/>
        <w:bCs/>
        <w:color w:val="151643" w:themeColor="text1"/>
        <w:sz w:val="20"/>
      </w:rPr>
      <w:tblPr/>
      <w:tcPr>
        <w:shd w:val="clear" w:color="auto" w:fill="BEBFEA" w:themeFill="text1" w:themeFillTint="33"/>
      </w:tcPr>
    </w:tblStylePr>
    <w:tblStylePr w:type="lastCol">
      <w:rPr>
        <w:b/>
        <w:bCs/>
      </w:rPr>
    </w:tblStylePr>
  </w:style>
  <w:style w:type="character" w:customStyle="1" w:styleId="Overskrift3Tegn">
    <w:name w:val="Overskrift 3 Tegn"/>
    <w:basedOn w:val="Standardskriftforavsnitt"/>
    <w:link w:val="Overskrift3"/>
    <w:uiPriority w:val="9"/>
    <w:rsid w:val="004D579D"/>
    <w:rPr>
      <w:rFonts w:asciiTheme="majorHAnsi" w:eastAsiaTheme="majorEastAsia" w:hAnsiTheme="majorHAnsi" w:cstheme="majorBidi"/>
      <w:color w:val="696583" w:themeColor="accent5"/>
      <w:sz w:val="20"/>
    </w:rPr>
  </w:style>
  <w:style w:type="paragraph" w:styleId="Topptekst">
    <w:name w:val="header"/>
    <w:basedOn w:val="Normal"/>
    <w:link w:val="TopptekstTegn"/>
    <w:uiPriority w:val="99"/>
    <w:unhideWhenUsed/>
    <w:rsid w:val="00641704"/>
    <w:pPr>
      <w:tabs>
        <w:tab w:val="center" w:pos="4536"/>
        <w:tab w:val="right" w:pos="9072"/>
      </w:tabs>
      <w:spacing w:after="0"/>
    </w:pPr>
    <w:rPr>
      <w:sz w:val="18"/>
    </w:rPr>
  </w:style>
  <w:style w:type="character" w:customStyle="1" w:styleId="TopptekstTegn">
    <w:name w:val="Topptekst Tegn"/>
    <w:basedOn w:val="Standardskriftforavsnitt"/>
    <w:link w:val="Topptekst"/>
    <w:uiPriority w:val="99"/>
    <w:rsid w:val="00641704"/>
    <w:rPr>
      <w:rFonts w:ascii="Calibri" w:hAnsi="Calibri"/>
      <w:sz w:val="18"/>
    </w:rPr>
  </w:style>
  <w:style w:type="paragraph" w:styleId="Bunntekst">
    <w:name w:val="footer"/>
    <w:basedOn w:val="Normal"/>
    <w:link w:val="BunntekstTegn"/>
    <w:uiPriority w:val="99"/>
    <w:unhideWhenUsed/>
    <w:rsid w:val="001B6E74"/>
    <w:pPr>
      <w:tabs>
        <w:tab w:val="left" w:pos="3261"/>
        <w:tab w:val="left" w:pos="3686"/>
        <w:tab w:val="left" w:pos="5387"/>
        <w:tab w:val="left" w:pos="5812"/>
      </w:tabs>
      <w:spacing w:after="0"/>
    </w:pPr>
    <w:rPr>
      <w:rFonts w:ascii="Calibri Light" w:hAnsi="Calibri Light"/>
      <w:sz w:val="16"/>
    </w:rPr>
  </w:style>
  <w:style w:type="character" w:customStyle="1" w:styleId="BunntekstTegn">
    <w:name w:val="Bunntekst Tegn"/>
    <w:basedOn w:val="Standardskriftforavsnitt"/>
    <w:link w:val="Bunntekst"/>
    <w:uiPriority w:val="99"/>
    <w:rsid w:val="001B6E74"/>
    <w:rPr>
      <w:rFonts w:ascii="Calibri Light" w:hAnsi="Calibri Light"/>
      <w:color w:val="151643" w:themeColor="text1"/>
      <w:sz w:val="16"/>
    </w:rPr>
  </w:style>
  <w:style w:type="table" w:styleId="Tabellrutenett">
    <w:name w:val="Table Grid"/>
    <w:basedOn w:val="Vanligtabell"/>
    <w:uiPriority w:val="39"/>
    <w:rsid w:val="0098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uiPriority w:val="99"/>
    <w:semiHidden/>
    <w:unhideWhenUsed/>
    <w:rsid w:val="009856E2"/>
  </w:style>
  <w:style w:type="character" w:customStyle="1" w:styleId="Overskrift1Tegn">
    <w:name w:val="Overskrift 1 Tegn"/>
    <w:aliases w:val="NIM Overskrift 1 Tegn"/>
    <w:basedOn w:val="Standardskriftforavsnitt"/>
    <w:link w:val="Overskrift1"/>
    <w:uiPriority w:val="9"/>
    <w:rsid w:val="00CD0586"/>
    <w:rPr>
      <w:rFonts w:ascii="Calibri" w:hAnsi="Calibri"/>
      <w:b/>
      <w:sz w:val="22"/>
    </w:rPr>
  </w:style>
  <w:style w:type="character" w:customStyle="1" w:styleId="Overskrift4Tegn">
    <w:name w:val="Overskrift 4 Tegn"/>
    <w:basedOn w:val="Standardskriftforavsnitt"/>
    <w:link w:val="Overskrift4"/>
    <w:uiPriority w:val="9"/>
    <w:rsid w:val="00A976FC"/>
    <w:rPr>
      <w:rFonts w:asciiTheme="majorHAnsi" w:eastAsiaTheme="majorEastAsia" w:hAnsiTheme="majorHAnsi" w:cstheme="majorBidi"/>
      <w:i/>
      <w:iCs/>
      <w:color w:val="151643" w:themeColor="text1"/>
      <w:sz w:val="20"/>
    </w:rPr>
  </w:style>
  <w:style w:type="paragraph" w:styleId="Listeavsnitt">
    <w:name w:val="List Paragraph"/>
    <w:basedOn w:val="Normal"/>
    <w:uiPriority w:val="34"/>
    <w:qFormat/>
    <w:rsid w:val="00802E52"/>
    <w:pPr>
      <w:numPr>
        <w:numId w:val="9"/>
      </w:numPr>
      <w:spacing w:before="120"/>
      <w:ind w:left="1276" w:hanging="709"/>
      <w:contextualSpacing/>
    </w:pPr>
  </w:style>
  <w:style w:type="paragraph" w:styleId="Bobletekst">
    <w:name w:val="Balloon Text"/>
    <w:basedOn w:val="Normal"/>
    <w:link w:val="BobletekstTegn"/>
    <w:uiPriority w:val="99"/>
    <w:semiHidden/>
    <w:unhideWhenUsed/>
    <w:rsid w:val="001301B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301B2"/>
    <w:rPr>
      <w:rFonts w:ascii="Segoe UI" w:hAnsi="Segoe UI" w:cs="Segoe UI"/>
      <w:sz w:val="18"/>
      <w:szCs w:val="18"/>
    </w:rPr>
  </w:style>
  <w:style w:type="paragraph" w:styleId="Ingenmellomrom">
    <w:name w:val="No Spacing"/>
    <w:uiPriority w:val="1"/>
    <w:rsid w:val="000B031E"/>
    <w:pPr>
      <w:spacing w:line="276" w:lineRule="auto"/>
      <w:jc w:val="both"/>
    </w:pPr>
    <w:rPr>
      <w:rFonts w:ascii="Calibri" w:hAnsi="Calibri"/>
      <w:color w:val="151643" w:themeColor="text1"/>
      <w:sz w:val="22"/>
    </w:rPr>
  </w:style>
  <w:style w:type="paragraph" w:customStyle="1" w:styleId="Alternativoverskrift">
    <w:name w:val="Alternativ overskrift"/>
    <w:basedOn w:val="Normal"/>
    <w:link w:val="AlternativoverskriftTegn"/>
    <w:autoRedefine/>
    <w:rsid w:val="00D57917"/>
    <w:pPr>
      <w:numPr>
        <w:numId w:val="6"/>
      </w:numPr>
      <w:spacing w:before="300" w:after="60"/>
      <w:ind w:left="567" w:hanging="567"/>
      <w:outlineLvl w:val="0"/>
    </w:pPr>
    <w:rPr>
      <w:b/>
      <w:sz w:val="24"/>
    </w:rPr>
  </w:style>
  <w:style w:type="paragraph" w:customStyle="1" w:styleId="NIMunderoverskrift1">
    <w:name w:val="NIM underoverskrift 1"/>
    <w:basedOn w:val="Normal"/>
    <w:link w:val="NIMunderoverskrift1Tegn"/>
    <w:rsid w:val="009921A2"/>
    <w:pPr>
      <w:numPr>
        <w:ilvl w:val="1"/>
        <w:numId w:val="6"/>
      </w:numPr>
      <w:spacing w:before="160" w:after="80"/>
      <w:ind w:left="567" w:hanging="567"/>
    </w:pPr>
    <w:rPr>
      <w:i/>
      <w:sz w:val="24"/>
    </w:rPr>
  </w:style>
  <w:style w:type="character" w:customStyle="1" w:styleId="AlternativoverskriftTegn">
    <w:name w:val="Alternativ overskrift Tegn"/>
    <w:basedOn w:val="Standardskriftforavsnitt"/>
    <w:link w:val="Alternativoverskrift"/>
    <w:rsid w:val="00D57917"/>
    <w:rPr>
      <w:rFonts w:ascii="Calibri" w:hAnsi="Calibri"/>
      <w:b/>
      <w:color w:val="151643" w:themeColor="text1"/>
    </w:rPr>
  </w:style>
  <w:style w:type="paragraph" w:customStyle="1" w:styleId="NIMTittel1">
    <w:name w:val="NIM Tittel 1"/>
    <w:basedOn w:val="Tittel"/>
    <w:link w:val="NIMTittel1Tegn"/>
    <w:qFormat/>
    <w:rsid w:val="00576507"/>
    <w:pPr>
      <w:spacing w:after="240"/>
    </w:pPr>
    <w:rPr>
      <w:rFonts w:ascii="Calibri" w:hAnsi="Calibri"/>
      <w:b/>
      <w:spacing w:val="0"/>
      <w:kern w:val="0"/>
      <w:sz w:val="30"/>
      <w:szCs w:val="30"/>
    </w:rPr>
  </w:style>
  <w:style w:type="character" w:customStyle="1" w:styleId="NIMunderoverskrift1Tegn">
    <w:name w:val="NIM underoverskrift 1 Tegn"/>
    <w:basedOn w:val="Standardskriftforavsnitt"/>
    <w:link w:val="NIMunderoverskrift1"/>
    <w:rsid w:val="009921A2"/>
    <w:rPr>
      <w:rFonts w:ascii="Calibri" w:hAnsi="Calibri"/>
      <w:i/>
      <w:color w:val="151643" w:themeColor="text1"/>
      <w:lang w:val="en-GB"/>
    </w:rPr>
  </w:style>
  <w:style w:type="paragraph" w:styleId="Tittel">
    <w:name w:val="Title"/>
    <w:basedOn w:val="Normal"/>
    <w:next w:val="Normal"/>
    <w:link w:val="TittelTegn"/>
    <w:uiPriority w:val="10"/>
    <w:rsid w:val="008908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908B5"/>
    <w:rPr>
      <w:rFonts w:asciiTheme="majorHAnsi" w:eastAsiaTheme="majorEastAsia" w:hAnsiTheme="majorHAnsi" w:cstheme="majorBidi"/>
      <w:spacing w:val="-10"/>
      <w:kern w:val="28"/>
      <w:sz w:val="56"/>
      <w:szCs w:val="56"/>
    </w:rPr>
  </w:style>
  <w:style w:type="character" w:customStyle="1" w:styleId="NIMTittel1Tegn">
    <w:name w:val="NIM Tittel 1 Tegn"/>
    <w:basedOn w:val="TittelTegn"/>
    <w:link w:val="NIMTittel1"/>
    <w:rsid w:val="00576507"/>
    <w:rPr>
      <w:rFonts w:ascii="Calibri" w:eastAsiaTheme="majorEastAsia" w:hAnsi="Calibri" w:cstheme="majorBidi"/>
      <w:b/>
      <w:color w:val="151643" w:themeColor="text1"/>
      <w:spacing w:val="-10"/>
      <w:kern w:val="28"/>
      <w:sz w:val="30"/>
      <w:szCs w:val="30"/>
    </w:rPr>
  </w:style>
  <w:style w:type="paragraph" w:styleId="Fotnotetekst">
    <w:name w:val="footnote text"/>
    <w:basedOn w:val="Normal"/>
    <w:link w:val="FotnotetekstTegn"/>
    <w:uiPriority w:val="99"/>
    <w:unhideWhenUsed/>
    <w:rsid w:val="006C4DB7"/>
    <w:pPr>
      <w:spacing w:after="60"/>
    </w:pPr>
    <w:rPr>
      <w:color w:val="696583" w:themeColor="accent5"/>
      <w:sz w:val="16"/>
      <w:szCs w:val="16"/>
    </w:rPr>
  </w:style>
  <w:style w:type="character" w:customStyle="1" w:styleId="FotnotetekstTegn">
    <w:name w:val="Fotnotetekst Tegn"/>
    <w:basedOn w:val="Standardskriftforavsnitt"/>
    <w:link w:val="Fotnotetekst"/>
    <w:uiPriority w:val="99"/>
    <w:rsid w:val="006C4DB7"/>
    <w:rPr>
      <w:rFonts w:ascii="Calibri" w:hAnsi="Calibri"/>
      <w:color w:val="696583" w:themeColor="accent5"/>
      <w:sz w:val="16"/>
      <w:szCs w:val="16"/>
    </w:rPr>
  </w:style>
  <w:style w:type="character" w:styleId="Fotnotereferanse">
    <w:name w:val="footnote reference"/>
    <w:basedOn w:val="Standardskriftforavsnitt"/>
    <w:uiPriority w:val="99"/>
    <w:unhideWhenUsed/>
    <w:rsid w:val="00C37C2F"/>
    <w:rPr>
      <w:vertAlign w:val="superscript"/>
    </w:rPr>
  </w:style>
  <w:style w:type="paragraph" w:customStyle="1" w:styleId="langtsitat">
    <w:name w:val="langt sitat"/>
    <w:basedOn w:val="Normal"/>
    <w:qFormat/>
    <w:rsid w:val="007C3873"/>
    <w:pPr>
      <w:ind w:left="567"/>
    </w:pPr>
    <w:rPr>
      <w:i/>
      <w:lang w:val="en-US"/>
    </w:rPr>
  </w:style>
  <w:style w:type="paragraph" w:styleId="Dokumentkart">
    <w:name w:val="Document Map"/>
    <w:basedOn w:val="Normal"/>
    <w:link w:val="DokumentkartTegn"/>
    <w:uiPriority w:val="99"/>
    <w:semiHidden/>
    <w:unhideWhenUsed/>
    <w:rsid w:val="00802E52"/>
    <w:pPr>
      <w:spacing w:after="0" w:line="240" w:lineRule="auto"/>
    </w:pPr>
    <w:rPr>
      <w:rFonts w:ascii="Times New Roman" w:hAnsi="Times New Roman" w:cs="Times New Roman"/>
      <w:sz w:val="24"/>
    </w:rPr>
  </w:style>
  <w:style w:type="character" w:customStyle="1" w:styleId="DokumentkartTegn">
    <w:name w:val="Dokumentkart Tegn"/>
    <w:basedOn w:val="Standardskriftforavsnitt"/>
    <w:link w:val="Dokumentkart"/>
    <w:uiPriority w:val="99"/>
    <w:semiHidden/>
    <w:rsid w:val="00802E52"/>
    <w:rPr>
      <w:rFonts w:ascii="Times New Roman" w:hAnsi="Times New Roman" w:cs="Times New Roman"/>
      <w:color w:val="151643" w:themeColor="text1"/>
    </w:rPr>
  </w:style>
  <w:style w:type="paragraph" w:customStyle="1" w:styleId="Stikktittel">
    <w:name w:val="Stikktittel"/>
    <w:basedOn w:val="Ingenmellomrom"/>
    <w:qFormat/>
    <w:rsid w:val="000B031E"/>
    <w:rPr>
      <w:b/>
      <w:lang w:val="en-GB"/>
    </w:rPr>
  </w:style>
  <w:style w:type="character" w:customStyle="1" w:styleId="uthevet">
    <w:name w:val="uthevet"/>
    <w:basedOn w:val="Standardskriftforavsnitt"/>
    <w:uiPriority w:val="1"/>
    <w:qFormat/>
    <w:rsid w:val="00761B05"/>
    <w:rPr>
      <w:rFonts w:ascii="Calibri" w:hAnsi="Calibri"/>
      <w:b/>
      <w:bCs/>
      <w:i w:val="0"/>
      <w:iCs w:val="0"/>
    </w:rPr>
  </w:style>
  <w:style w:type="character" w:styleId="Hyperkobling">
    <w:name w:val="Hyperlink"/>
    <w:basedOn w:val="Standardskriftforavsnitt"/>
    <w:uiPriority w:val="99"/>
    <w:unhideWhenUsed/>
    <w:rsid w:val="00A71D9D"/>
    <w:rPr>
      <w:color w:val="0563C1" w:themeColor="hyperlink"/>
      <w:u w:val="single"/>
    </w:rPr>
  </w:style>
  <w:style w:type="character" w:styleId="Ulstomtale">
    <w:name w:val="Unresolved Mention"/>
    <w:basedOn w:val="Standardskriftforavsnitt"/>
    <w:uiPriority w:val="99"/>
    <w:rsid w:val="007048B1"/>
    <w:rPr>
      <w:color w:val="808080"/>
      <w:shd w:val="clear" w:color="auto" w:fill="E6E6E6"/>
    </w:rPr>
  </w:style>
  <w:style w:type="character" w:styleId="Merknadsreferanse">
    <w:name w:val="annotation reference"/>
    <w:basedOn w:val="Standardskriftforavsnitt"/>
    <w:uiPriority w:val="99"/>
    <w:semiHidden/>
    <w:unhideWhenUsed/>
    <w:rsid w:val="00253AC7"/>
    <w:rPr>
      <w:sz w:val="16"/>
      <w:szCs w:val="16"/>
    </w:rPr>
  </w:style>
  <w:style w:type="paragraph" w:styleId="Merknadstekst">
    <w:name w:val="annotation text"/>
    <w:basedOn w:val="Normal"/>
    <w:link w:val="MerknadstekstTegn"/>
    <w:uiPriority w:val="99"/>
    <w:semiHidden/>
    <w:unhideWhenUsed/>
    <w:rsid w:val="00253AC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53AC7"/>
    <w:rPr>
      <w:rFonts w:ascii="Calibri" w:hAnsi="Calibri"/>
      <w:color w:val="151643" w:themeColor="text1"/>
      <w:sz w:val="20"/>
      <w:szCs w:val="20"/>
      <w:lang w:val="en-GB"/>
    </w:rPr>
  </w:style>
  <w:style w:type="paragraph" w:styleId="Kommentaremne">
    <w:name w:val="annotation subject"/>
    <w:basedOn w:val="Merknadstekst"/>
    <w:next w:val="Merknadstekst"/>
    <w:link w:val="KommentaremneTegn"/>
    <w:uiPriority w:val="99"/>
    <w:semiHidden/>
    <w:unhideWhenUsed/>
    <w:rsid w:val="00253AC7"/>
    <w:rPr>
      <w:b/>
      <w:bCs/>
    </w:rPr>
  </w:style>
  <w:style w:type="character" w:customStyle="1" w:styleId="KommentaremneTegn">
    <w:name w:val="Kommentaremne Tegn"/>
    <w:basedOn w:val="MerknadstekstTegn"/>
    <w:link w:val="Kommentaremne"/>
    <w:uiPriority w:val="99"/>
    <w:semiHidden/>
    <w:rsid w:val="00253AC7"/>
    <w:rPr>
      <w:rFonts w:ascii="Calibri" w:hAnsi="Calibri"/>
      <w:b/>
      <w:bCs/>
      <w:color w:val="151643" w:themeColor="tex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198622">
      <w:bodyDiv w:val="1"/>
      <w:marLeft w:val="0"/>
      <w:marRight w:val="0"/>
      <w:marTop w:val="0"/>
      <w:marBottom w:val="0"/>
      <w:divBdr>
        <w:top w:val="none" w:sz="0" w:space="0" w:color="auto"/>
        <w:left w:val="none" w:sz="0" w:space="0" w:color="auto"/>
        <w:bottom w:val="none" w:sz="0" w:space="0" w:color="auto"/>
        <w:right w:val="none" w:sz="0" w:space="0" w:color="auto"/>
      </w:divBdr>
    </w:div>
    <w:div w:id="2102410300">
      <w:bodyDiv w:val="1"/>
      <w:marLeft w:val="0"/>
      <w:marRight w:val="0"/>
      <w:marTop w:val="0"/>
      <w:marBottom w:val="0"/>
      <w:divBdr>
        <w:top w:val="none" w:sz="0" w:space="0" w:color="auto"/>
        <w:left w:val="none" w:sz="0" w:space="0" w:color="auto"/>
        <w:bottom w:val="none" w:sz="0" w:space="0" w:color="auto"/>
        <w:right w:val="none" w:sz="0" w:space="0" w:color="auto"/>
      </w:divBdr>
      <w:divsChild>
        <w:div w:id="2026248706">
          <w:marLeft w:val="0"/>
          <w:marRight w:val="0"/>
          <w:marTop w:val="0"/>
          <w:marBottom w:val="0"/>
          <w:divBdr>
            <w:top w:val="none" w:sz="0" w:space="0" w:color="auto"/>
            <w:left w:val="none" w:sz="0" w:space="0" w:color="auto"/>
            <w:bottom w:val="none" w:sz="0" w:space="0" w:color="auto"/>
            <w:right w:val="none" w:sz="0" w:space="0" w:color="auto"/>
          </w:divBdr>
        </w:div>
        <w:div w:id="1501039796">
          <w:marLeft w:val="0"/>
          <w:marRight w:val="0"/>
          <w:marTop w:val="0"/>
          <w:marBottom w:val="0"/>
          <w:divBdr>
            <w:top w:val="none" w:sz="0" w:space="0" w:color="auto"/>
            <w:left w:val="none" w:sz="0" w:space="0" w:color="auto"/>
            <w:bottom w:val="none" w:sz="0" w:space="0" w:color="auto"/>
            <w:right w:val="none" w:sz="0" w:space="0" w:color="auto"/>
          </w:divBdr>
        </w:div>
        <w:div w:id="1712143525">
          <w:marLeft w:val="0"/>
          <w:marRight w:val="0"/>
          <w:marTop w:val="0"/>
          <w:marBottom w:val="0"/>
          <w:divBdr>
            <w:top w:val="none" w:sz="0" w:space="0" w:color="auto"/>
            <w:left w:val="none" w:sz="0" w:space="0" w:color="auto"/>
            <w:bottom w:val="none" w:sz="0" w:space="0" w:color="auto"/>
            <w:right w:val="none" w:sz="0" w:space="0" w:color="auto"/>
          </w:divBdr>
        </w:div>
        <w:div w:id="734663340">
          <w:marLeft w:val="0"/>
          <w:marRight w:val="0"/>
          <w:marTop w:val="0"/>
          <w:marBottom w:val="0"/>
          <w:divBdr>
            <w:top w:val="none" w:sz="0" w:space="0" w:color="auto"/>
            <w:left w:val="none" w:sz="0" w:space="0" w:color="auto"/>
            <w:bottom w:val="none" w:sz="0" w:space="0" w:color="auto"/>
            <w:right w:val="none" w:sz="0" w:space="0" w:color="auto"/>
          </w:divBdr>
        </w:div>
        <w:div w:id="1705137440">
          <w:marLeft w:val="0"/>
          <w:marRight w:val="0"/>
          <w:marTop w:val="0"/>
          <w:marBottom w:val="0"/>
          <w:divBdr>
            <w:top w:val="none" w:sz="0" w:space="0" w:color="auto"/>
            <w:left w:val="none" w:sz="0" w:space="0" w:color="auto"/>
            <w:bottom w:val="none" w:sz="0" w:space="0" w:color="auto"/>
            <w:right w:val="none" w:sz="0" w:space="0" w:color="auto"/>
          </w:divBdr>
        </w:div>
        <w:div w:id="12748211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05\AppData\Local\Microsoft\Windows\INetCache\Content.Outlook\PB8J9TJ5\NIM_Oppdatert_brevmal.dotx" TargetMode="External"/></Relationships>
</file>

<file path=word/theme/theme1.xml><?xml version="1.0" encoding="utf-8"?>
<a:theme xmlns:a="http://schemas.openxmlformats.org/drawingml/2006/main" name="NIM4">
  <a:themeElements>
    <a:clrScheme name="NIM4">
      <a:dk1>
        <a:srgbClr val="151643"/>
      </a:dk1>
      <a:lt1>
        <a:srgbClr val="FFFFFF"/>
      </a:lt1>
      <a:dk2>
        <a:srgbClr val="6D8CB2"/>
      </a:dk2>
      <a:lt2>
        <a:srgbClr val="E7E6E6"/>
      </a:lt2>
      <a:accent1>
        <a:srgbClr val="4472C4"/>
      </a:accent1>
      <a:accent2>
        <a:srgbClr val="ED7D31"/>
      </a:accent2>
      <a:accent3>
        <a:srgbClr val="A5A5A5"/>
      </a:accent3>
      <a:accent4>
        <a:srgbClr val="FFC000"/>
      </a:accent4>
      <a:accent5>
        <a:srgbClr val="696583"/>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IM4" id="{7A2BB9AD-5335-F34A-A0EF-878885FBD7C5}" vid="{FE2ED192-9817-154A-9ED1-8C4D227DEC4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A67D2C-B940-4504-936A-9FF06A90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NIM_Oppdatert_brevmal</Template>
  <TotalTime>2</TotalTime>
  <Pages>8</Pages>
  <Words>2385</Words>
  <Characters>12644</Characters>
  <Application>Microsoft Office Word</Application>
  <DocSecurity>0</DocSecurity>
  <Lines>105</Lines>
  <Paragraphs>29</Paragraphs>
  <ScaleCrop>false</ScaleCrop>
  <HeadingPairs>
    <vt:vector size="2" baseType="variant">
      <vt:variant>
        <vt:lpstr>Tittel</vt:lpstr>
      </vt:variant>
      <vt:variant>
        <vt:i4>1</vt:i4>
      </vt:variant>
    </vt:vector>
  </HeadingPairs>
  <TitlesOfParts>
    <vt:vector size="1" baseType="lpstr">
      <vt:lpstr>NIM brev</vt:lpstr>
    </vt:vector>
  </TitlesOfParts>
  <Manager/>
  <Company>NIM</Company>
  <LinksUpToDate>false</LinksUpToDate>
  <CharactersWithSpaces>15000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NIM brev</dc:title>
  <dc:subject/>
  <dc:creator>Pernille Meum</dc:creator>
  <cp:keywords/>
  <dc:description/>
  <cp:lastModifiedBy>Pernille Meum</cp:lastModifiedBy>
  <cp:revision>3</cp:revision>
  <cp:lastPrinted>2018-05-22T06:42:00Z</cp:lastPrinted>
  <dcterms:created xsi:type="dcterms:W3CDTF">2018-05-22T13:46:00Z</dcterms:created>
  <dcterms:modified xsi:type="dcterms:W3CDTF">2018-05-22T13:46:00Z</dcterms:modified>
  <cp:category/>
</cp:coreProperties>
</file>